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A587" w14:textId="4C695C4A" w:rsidR="008D35A7" w:rsidRDefault="00A76072" w:rsidP="008D35A7">
      <w:pPr>
        <w:jc w:val="both"/>
        <w:rPr>
          <w:rFonts w:ascii="Arial" w:hAnsi="Arial" w:cs="Arial"/>
          <w:color w:val="1F497D" w:themeColor="text2"/>
          <w:sz w:val="28"/>
          <w:szCs w:val="28"/>
        </w:rPr>
      </w:pPr>
      <w:r w:rsidRPr="00EA12FE" w:rsidDel="001731E3">
        <w:rPr>
          <w:rFonts w:ascii="Arial" w:hAnsi="Arial" w:cs="Arial"/>
          <w:b/>
          <w:bCs/>
          <w:color w:val="12273F"/>
          <w:sz w:val="48"/>
          <w:szCs w:val="48"/>
        </w:rPr>
        <w:t xml:space="preserve"> </w:t>
      </w:r>
    </w:p>
    <w:p w14:paraId="41B2006B" w14:textId="77777777" w:rsidR="0049091E" w:rsidRDefault="0049091E" w:rsidP="008D35A7">
      <w:pPr>
        <w:jc w:val="both"/>
        <w:rPr>
          <w:rFonts w:ascii="Arial" w:hAnsi="Arial" w:cs="Arial"/>
          <w:color w:val="1F497D" w:themeColor="text2"/>
          <w:sz w:val="28"/>
          <w:szCs w:val="28"/>
        </w:rPr>
      </w:pPr>
    </w:p>
    <w:bookmarkStart w:id="0" w:name="_Hlk202194059"/>
    <w:p w14:paraId="4ECB283C" w14:textId="5B666CA7" w:rsidR="0049091E" w:rsidRPr="008A4E83" w:rsidRDefault="0049091E" w:rsidP="005C7B96">
      <w:pPr>
        <w:spacing w:before="480" w:after="0" w:line="300" w:lineRule="auto"/>
        <w:rPr>
          <w:rFonts w:ascii="Century Gothic" w:eastAsia="Times New Roman" w:hAnsi="Century Gothic" w:cs="Times New Roman"/>
          <w:b/>
          <w:bCs/>
          <w:color w:val="12273F"/>
          <w:sz w:val="44"/>
          <w:szCs w:val="44"/>
        </w:rPr>
      </w:pPr>
      <w:r w:rsidRPr="004120EA">
        <w:rPr>
          <w:rFonts w:ascii="Arial" w:eastAsia="Times New Roman" w:hAnsi="Arial" w:cs="Times New Roman"/>
          <w:noProof/>
          <w:sz w:val="24"/>
          <w:lang w:eastAsia="en-GB"/>
        </w:rPr>
        <mc:AlternateContent>
          <mc:Choice Requires="wps">
            <w:drawing>
              <wp:anchor distT="0" distB="0" distL="114300" distR="114300" simplePos="0" relativeHeight="251657216" behindDoc="0" locked="0" layoutInCell="1" allowOverlap="1" wp14:anchorId="5FAE6B72" wp14:editId="415CD260">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9149" id="Rectangle 2" o:spid="_x0000_s1026" style="position:absolute;margin-left:-32.7pt;margin-top:27.5pt;width:529.5pt;height:10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Pr="004120EA">
        <w:rPr>
          <w:rFonts w:ascii="Arial" w:eastAsia="Times New Roman" w:hAnsi="Arial" w:cs="Times New Roman"/>
          <w:noProof/>
          <w:sz w:val="24"/>
          <w:lang w:eastAsia="en-GB"/>
        </w:rPr>
        <w:drawing>
          <wp:anchor distT="0" distB="0" distL="114300" distR="114300" simplePos="0" relativeHeight="251659264" behindDoc="0" locked="0" layoutInCell="1" allowOverlap="1" wp14:anchorId="20FF7E2D" wp14:editId="04983AE6">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bookmarkEnd w:id="0"/>
      <w:r w:rsidRPr="008A4E83">
        <w:rPr>
          <w:rFonts w:ascii="Century Gothic" w:eastAsia="Times New Roman" w:hAnsi="Century Gothic" w:cs="Times New Roman"/>
          <w:b/>
          <w:bCs/>
          <w:color w:val="12273F"/>
          <w:sz w:val="44"/>
          <w:szCs w:val="44"/>
        </w:rPr>
        <w:t xml:space="preserve">Article 77 </w:t>
      </w:r>
      <w:r w:rsidR="004A3075">
        <w:rPr>
          <w:rFonts w:ascii="Century Gothic" w:eastAsia="Times New Roman" w:hAnsi="Century Gothic" w:cs="Times New Roman"/>
          <w:b/>
          <w:bCs/>
          <w:color w:val="12273F"/>
          <w:sz w:val="44"/>
          <w:szCs w:val="44"/>
        </w:rPr>
        <w:t>Criteria and Conditions</w:t>
      </w:r>
      <w:r w:rsidRPr="008A4E83">
        <w:rPr>
          <w:rFonts w:ascii="Century Gothic" w:eastAsia="Times New Roman" w:hAnsi="Century Gothic" w:cs="Times New Roman"/>
          <w:b/>
          <w:bCs/>
          <w:color w:val="12273F"/>
          <w:sz w:val="44"/>
          <w:szCs w:val="44"/>
        </w:rPr>
        <w:t xml:space="preserve"> Form</w:t>
      </w:r>
    </w:p>
    <w:p w14:paraId="62D37237" w14:textId="68879242" w:rsidR="0049091E" w:rsidRPr="00136E47" w:rsidRDefault="00D34723" w:rsidP="0049091E">
      <w:pPr>
        <w:spacing w:before="120" w:after="0" w:line="300" w:lineRule="auto"/>
        <w:rPr>
          <w:rFonts w:ascii="Arial" w:hAnsi="Arial" w:cs="Arial"/>
          <w:sz w:val="28"/>
          <w:szCs w:val="28"/>
        </w:rPr>
      </w:pPr>
      <w:bookmarkStart w:id="1" w:name="Section_1_Core_Details"/>
      <w:r w:rsidRPr="00136E47">
        <w:rPr>
          <w:rFonts w:ascii="Century Gothic" w:eastAsia="Times New Roman" w:hAnsi="Century Gothic" w:cs="Times New Roman"/>
          <w:b/>
          <w:bCs/>
          <w:color w:val="12273F"/>
          <w:sz w:val="32"/>
          <w:szCs w:val="32"/>
        </w:rPr>
        <w:t>Conditions for reducing own funds</w:t>
      </w:r>
    </w:p>
    <w:p w14:paraId="59398FBD" w14:textId="6B544472" w:rsidR="0049091E" w:rsidRDefault="0049091E" w:rsidP="0049091E">
      <w:pPr>
        <w:spacing w:before="120" w:after="240" w:line="300" w:lineRule="auto"/>
        <w:rPr>
          <w:rFonts w:ascii="Arial" w:hAnsi="Arial" w:cs="Arial"/>
          <w:sz w:val="24"/>
          <w:szCs w:val="24"/>
        </w:rPr>
      </w:pPr>
      <w:r w:rsidRPr="00D34723">
        <w:rPr>
          <w:rFonts w:ascii="Arial" w:hAnsi="Arial" w:cs="Arial"/>
          <w:sz w:val="24"/>
          <w:szCs w:val="24"/>
        </w:rPr>
        <w:t xml:space="preserve">This form must be completed by firms applying for a permission under Article 77, </w:t>
      </w:r>
      <w:hyperlink r:id="rId9" w:anchor="39d7b698cd634779bef3259313b4e673" w:history="1">
        <w:r w:rsidRPr="00D34723">
          <w:rPr>
            <w:rFonts w:ascii="Arial" w:hAnsi="Arial" w:cs="Arial"/>
            <w:color w:val="0000FF" w:themeColor="hyperlink"/>
            <w:sz w:val="24"/>
            <w:szCs w:val="24"/>
            <w:u w:val="single"/>
          </w:rPr>
          <w:t>Chapter 3, Own Funds (CRR) Part of the PRA Rulebook</w:t>
        </w:r>
      </w:hyperlink>
      <w:r w:rsidRPr="00D34723">
        <w:rPr>
          <w:rFonts w:ascii="Arial" w:hAnsi="Arial" w:cs="Arial"/>
          <w:sz w:val="24"/>
          <w:szCs w:val="24"/>
        </w:rPr>
        <w:t>, for a reduction in own funds. It should be submitted alongside the s138BA Application form</w:t>
      </w:r>
      <w:r w:rsidR="00D34723">
        <w:rPr>
          <w:rFonts w:ascii="Arial" w:hAnsi="Arial" w:cs="Arial"/>
          <w:sz w:val="24"/>
          <w:szCs w:val="24"/>
        </w:rPr>
        <w:t xml:space="preserve"> </w:t>
      </w:r>
      <w:r w:rsidR="00D34723" w:rsidRPr="00D34723">
        <w:rPr>
          <w:rFonts w:ascii="Arial" w:hAnsi="Arial" w:cs="Arial"/>
          <w:sz w:val="24"/>
          <w:szCs w:val="24"/>
        </w:rPr>
        <w:t>to </w:t>
      </w:r>
      <w:hyperlink r:id="rId10" w:tgtFrame="_blank" w:history="1">
        <w:r w:rsidR="00D34723" w:rsidRPr="00D34723">
          <w:rPr>
            <w:rStyle w:val="Hyperlink"/>
            <w:rFonts w:ascii="Arial" w:hAnsi="Arial" w:cs="Arial"/>
            <w:sz w:val="24"/>
            <w:szCs w:val="24"/>
          </w:rPr>
          <w:t>PRA-waivers@bankofengland.co.uk</w:t>
        </w:r>
      </w:hyperlink>
      <w:r w:rsidR="005C7B96">
        <w:rPr>
          <w:rFonts w:ascii="Arial" w:hAnsi="Arial" w:cs="Arial"/>
          <w:sz w:val="24"/>
          <w:szCs w:val="24"/>
        </w:rPr>
        <w:t>.</w:t>
      </w:r>
      <w:r w:rsidR="00D34723" w:rsidRPr="00D34723">
        <w:rPr>
          <w:rFonts w:ascii="Arial" w:hAnsi="Arial" w:cs="Arial"/>
          <w:sz w:val="24"/>
          <w:szCs w:val="24"/>
        </w:rPr>
        <w:t> </w:t>
      </w:r>
    </w:p>
    <w:p w14:paraId="7610B3F2" w14:textId="77777777" w:rsidR="00094D9A" w:rsidRPr="005C7B96" w:rsidRDefault="00094D9A" w:rsidP="0049091E">
      <w:pPr>
        <w:spacing w:before="120" w:after="240" w:line="300" w:lineRule="auto"/>
        <w:rPr>
          <w:rFonts w:ascii="Arial" w:hAnsi="Arial" w:cs="Arial"/>
          <w:sz w:val="24"/>
          <w:szCs w:val="24"/>
        </w:rPr>
      </w:pPr>
    </w:p>
    <w:bookmarkEnd w:id="1"/>
    <w:p w14:paraId="104C2413" w14:textId="77777777" w:rsidR="0049091E" w:rsidRPr="008A4E83" w:rsidRDefault="0049091E" w:rsidP="0049091E">
      <w:pPr>
        <w:shd w:val="clear" w:color="auto" w:fill="12273F"/>
        <w:spacing w:after="160" w:line="259" w:lineRule="auto"/>
        <w:rPr>
          <w:rFonts w:ascii="Century Gothic" w:eastAsia="Times New Roman" w:hAnsi="Century Gothic" w:cs="Arial"/>
          <w:b/>
          <w:bCs/>
          <w:iCs/>
          <w:color w:val="FFFFFF" w:themeColor="background1"/>
          <w:sz w:val="44"/>
          <w:szCs w:val="44"/>
        </w:rPr>
      </w:pPr>
      <w:r w:rsidRPr="008A4E83">
        <w:rPr>
          <w:rFonts w:ascii="Century Gothic" w:eastAsia="Times New Roman" w:hAnsi="Century Gothic" w:cs="Arial"/>
          <w:b/>
          <w:bCs/>
          <w:iCs/>
          <w:color w:val="FFFFFF" w:themeColor="background1"/>
          <w:sz w:val="44"/>
          <w:szCs w:val="44"/>
        </w:rPr>
        <w:t xml:space="preserve">1 </w:t>
      </w:r>
      <w:r w:rsidRPr="008A4E83">
        <w:rPr>
          <w:rFonts w:ascii="Century Gothic" w:eastAsia="Times New Roman" w:hAnsi="Century Gothic" w:cs="Arial"/>
          <w:b/>
          <w:bCs/>
          <w:iCs/>
          <w:color w:val="FFFFFF" w:themeColor="background1"/>
          <w:sz w:val="44"/>
          <w:szCs w:val="44"/>
        </w:rPr>
        <w:tab/>
        <w:t>Firm Details</w:t>
      </w:r>
    </w:p>
    <w:p w14:paraId="54109B48" w14:textId="77777777" w:rsidR="0049091E" w:rsidRPr="004120EA" w:rsidRDefault="0049091E" w:rsidP="0049091E">
      <w:pPr>
        <w:shd w:val="clear" w:color="auto" w:fill="12273F"/>
        <w:spacing w:after="160" w:line="259" w:lineRule="auto"/>
        <w:rPr>
          <w:rFonts w:ascii="Arial" w:eastAsia="Times New Roman" w:hAnsi="Arial" w:cs="Arial"/>
          <w:b/>
          <w:bCs/>
          <w:iCs/>
          <w:color w:val="000000"/>
          <w:sz w:val="36"/>
          <w:szCs w:val="36"/>
        </w:rPr>
      </w:pPr>
    </w:p>
    <w:p w14:paraId="1C2203B5" w14:textId="77777777" w:rsidR="0049091E" w:rsidRPr="004120EA" w:rsidRDefault="0049091E" w:rsidP="0049091E">
      <w:pPr>
        <w:pBdr>
          <w:top w:val="single" w:sz="4" w:space="1" w:color="3CD7D9"/>
        </w:pBdr>
        <w:spacing w:before="480" w:after="240" w:line="240" w:lineRule="atLeast"/>
        <w:rPr>
          <w:rFonts w:ascii="Arial" w:eastAsia="Times New Roman" w:hAnsi="Arial" w:cs="Calibri"/>
          <w:color w:val="737373"/>
          <w:sz w:val="18"/>
          <w:szCs w:val="18"/>
        </w:rPr>
      </w:pPr>
    </w:p>
    <w:tbl>
      <w:tblPr>
        <w:tblStyle w:val="TableGrid"/>
        <w:tblW w:w="8930"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669"/>
      </w:tblGrid>
      <w:tr w:rsidR="0049091E" w:rsidRPr="004120EA" w14:paraId="50A37737" w14:textId="77777777" w:rsidTr="00796BF7">
        <w:trPr>
          <w:trHeight w:val="624"/>
        </w:trPr>
        <w:tc>
          <w:tcPr>
            <w:tcW w:w="3261" w:type="dxa"/>
            <w:tcBorders>
              <w:top w:val="single" w:sz="24" w:space="0" w:color="FFFFFF"/>
              <w:bottom w:val="single" w:sz="48" w:space="0" w:color="FFFFFF"/>
            </w:tcBorders>
          </w:tcPr>
          <w:p w14:paraId="5FF4F578" w14:textId="77777777" w:rsidR="0049091E" w:rsidRPr="004120EA" w:rsidRDefault="0049091E" w:rsidP="0049091E">
            <w:pPr>
              <w:numPr>
                <w:ilvl w:val="1"/>
                <w:numId w:val="6"/>
              </w:numPr>
              <w:spacing w:line="300" w:lineRule="auto"/>
              <w:ind w:left="1134" w:hanging="1134"/>
              <w:contextualSpacing/>
              <w:rPr>
                <w:rFonts w:ascii="Arial" w:eastAsia="Yu Mincho" w:hAnsi="Arial" w:cs="Arial"/>
                <w:szCs w:val="20"/>
              </w:rPr>
            </w:pPr>
            <w:bookmarkStart w:id="2" w:name="_Hlk203133499"/>
            <w:r w:rsidRPr="00BB73CE">
              <w:rPr>
                <w:rFonts w:ascii="Arial" w:eastAsia="Yu Mincho" w:hAnsi="Arial" w:cs="Arial"/>
                <w:iCs/>
              </w:rPr>
              <w:t>Firm name</w:t>
            </w:r>
          </w:p>
          <w:p w14:paraId="5379D7B5" w14:textId="77777777" w:rsidR="0049091E" w:rsidRPr="004120EA" w:rsidRDefault="0049091E" w:rsidP="00796BF7">
            <w:pPr>
              <w:spacing w:line="300" w:lineRule="auto"/>
              <w:contextualSpacing/>
              <w:rPr>
                <w:rFonts w:ascii="Arial" w:eastAsia="Yu Mincho" w:hAnsi="Arial" w:cs="Arial"/>
                <w:szCs w:val="20"/>
              </w:rPr>
            </w:pPr>
          </w:p>
        </w:tc>
        <w:tc>
          <w:tcPr>
            <w:tcW w:w="5669" w:type="dxa"/>
            <w:tcBorders>
              <w:top w:val="single" w:sz="24" w:space="0" w:color="FFFFFF"/>
              <w:bottom w:val="single" w:sz="48" w:space="0" w:color="FFFFFF"/>
            </w:tcBorders>
            <w:shd w:val="clear" w:color="auto" w:fill="F6F6F6"/>
          </w:tcPr>
          <w:p w14:paraId="04550FCD"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4E4BE52B" w14:textId="77777777" w:rsidR="0049091E" w:rsidRPr="004120EA" w:rsidRDefault="0049091E" w:rsidP="00796BF7">
            <w:pPr>
              <w:rPr>
                <w:rFonts w:ascii="Arial" w:eastAsia="Times New Roman" w:hAnsi="Arial" w:cs="Arial"/>
                <w:iCs/>
                <w:color w:val="000000"/>
              </w:rPr>
            </w:pPr>
            <w:r w:rsidRPr="004120EA">
              <w:rPr>
                <w:rFonts w:ascii="Arial" w:eastAsia="Times New Roman" w:hAnsi="Arial" w:cs="Arial"/>
                <w:iCs/>
                <w:color w:val="000000"/>
              </w:rPr>
              <w:fldChar w:fldCharType="begin">
                <w:ffData>
                  <w:name w:val="Text13"/>
                  <w:enabled/>
                  <w:calcOnExit w:val="0"/>
                  <w:textInput/>
                </w:ffData>
              </w:fldChar>
            </w:r>
            <w:r w:rsidRPr="004120EA">
              <w:rPr>
                <w:rFonts w:ascii="Arial" w:eastAsia="Times New Roman" w:hAnsi="Arial" w:cs="Arial"/>
                <w:iCs/>
                <w:color w:val="000000"/>
              </w:rPr>
              <w:instrText xml:space="preserve"> FORMTEXT </w:instrText>
            </w:r>
            <w:r w:rsidRPr="004120EA">
              <w:rPr>
                <w:rFonts w:ascii="Arial" w:eastAsia="Times New Roman" w:hAnsi="Arial" w:cs="Arial"/>
                <w:iCs/>
                <w:color w:val="000000"/>
              </w:rPr>
            </w:r>
            <w:r w:rsidRPr="004120EA">
              <w:rPr>
                <w:rFonts w:ascii="Arial" w:eastAsia="Times New Roman" w:hAnsi="Arial" w:cs="Arial"/>
                <w:iCs/>
                <w:color w:val="000000"/>
              </w:rPr>
              <w:fldChar w:fldCharType="separate"/>
            </w:r>
            <w:r w:rsidRPr="004120EA">
              <w:rPr>
                <w:rFonts w:ascii="Arial" w:eastAsia="Times New Roman" w:hAnsi="Arial" w:cs="Arial"/>
                <w:iCs/>
                <w:color w:val="000000"/>
              </w:rPr>
              <w:fldChar w:fldCharType="end"/>
            </w:r>
          </w:p>
        </w:tc>
      </w:tr>
      <w:tr w:rsidR="0049091E" w:rsidRPr="004120EA" w14:paraId="58FEEBB6" w14:textId="77777777" w:rsidTr="00796BF7">
        <w:trPr>
          <w:trHeight w:val="624"/>
        </w:trPr>
        <w:tc>
          <w:tcPr>
            <w:tcW w:w="3261" w:type="dxa"/>
            <w:tcBorders>
              <w:top w:val="single" w:sz="24" w:space="0" w:color="FFFFFF"/>
              <w:bottom w:val="single" w:sz="48" w:space="0" w:color="FFFFFF"/>
            </w:tcBorders>
          </w:tcPr>
          <w:p w14:paraId="2A215598" w14:textId="77777777" w:rsidR="0049091E" w:rsidRPr="00BB73CE" w:rsidRDefault="0049091E" w:rsidP="0049091E">
            <w:pPr>
              <w:pStyle w:val="ListParagraph"/>
              <w:numPr>
                <w:ilvl w:val="1"/>
                <w:numId w:val="6"/>
              </w:numPr>
              <w:tabs>
                <w:tab w:val="left" w:pos="1276"/>
              </w:tabs>
              <w:ind w:left="1134" w:hanging="1134"/>
              <w:rPr>
                <w:rFonts w:ascii="Arial" w:eastAsia="Yu Mincho" w:hAnsi="Arial" w:cs="Arial"/>
                <w:iCs/>
              </w:rPr>
            </w:pPr>
            <w:r w:rsidRPr="00BB73CE">
              <w:rPr>
                <w:rFonts w:ascii="Arial" w:eastAsia="Yu Mincho" w:hAnsi="Arial" w:cs="Arial"/>
                <w:iCs/>
              </w:rPr>
              <w:t>Firm reference number (FRN)</w:t>
            </w:r>
          </w:p>
        </w:tc>
        <w:tc>
          <w:tcPr>
            <w:tcW w:w="5669" w:type="dxa"/>
            <w:tcBorders>
              <w:top w:val="single" w:sz="24" w:space="0" w:color="FFFFFF"/>
              <w:bottom w:val="single" w:sz="48" w:space="0" w:color="FFFFFF"/>
            </w:tcBorders>
            <w:shd w:val="clear" w:color="auto" w:fill="F6F6F6"/>
          </w:tcPr>
          <w:p w14:paraId="5BDD6F2D" w14:textId="77777777" w:rsidR="0049091E" w:rsidRPr="004120EA" w:rsidRDefault="0049091E" w:rsidP="00796BF7">
            <w:pPr>
              <w:rPr>
                <w:rFonts w:ascii="Arial" w:eastAsia="Times New Roman" w:hAnsi="Arial" w:cs="Arial"/>
                <w:iCs/>
                <w:color w:val="000000"/>
                <w:shd w:val="clear" w:color="auto" w:fill="F6F6F6"/>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tc>
      </w:tr>
      <w:tr w:rsidR="0049091E" w:rsidRPr="004120EA" w14:paraId="7B7EC4C9" w14:textId="77777777" w:rsidTr="00796BF7">
        <w:trPr>
          <w:trHeight w:val="624"/>
        </w:trPr>
        <w:tc>
          <w:tcPr>
            <w:tcW w:w="3261" w:type="dxa"/>
            <w:tcBorders>
              <w:top w:val="single" w:sz="48" w:space="0" w:color="FFFFFF"/>
              <w:bottom w:val="single" w:sz="48" w:space="0" w:color="FFFFFF"/>
            </w:tcBorders>
          </w:tcPr>
          <w:p w14:paraId="46A58134" w14:textId="77777777" w:rsidR="0049091E" w:rsidRPr="00BB73CE" w:rsidRDefault="0049091E" w:rsidP="0049091E">
            <w:pPr>
              <w:pStyle w:val="ListParagraph"/>
              <w:numPr>
                <w:ilvl w:val="1"/>
                <w:numId w:val="6"/>
              </w:numPr>
              <w:spacing w:line="300" w:lineRule="auto"/>
              <w:ind w:left="1134" w:hanging="1134"/>
              <w:rPr>
                <w:rFonts w:ascii="Arial" w:eastAsia="Yu Mincho" w:hAnsi="Arial" w:cs="Arial"/>
                <w:color w:val="000000"/>
                <w:szCs w:val="20"/>
              </w:rPr>
            </w:pPr>
            <w:r w:rsidRPr="00BB73CE">
              <w:rPr>
                <w:rFonts w:ascii="Arial" w:eastAsia="Yu Mincho" w:hAnsi="Arial" w:cs="Arial"/>
                <w:color w:val="000000"/>
                <w:szCs w:val="20"/>
              </w:rPr>
              <w:t>Basis of application</w:t>
            </w:r>
          </w:p>
        </w:tc>
        <w:tc>
          <w:tcPr>
            <w:tcW w:w="5669" w:type="dxa"/>
            <w:tcBorders>
              <w:top w:val="single" w:sz="48" w:space="0" w:color="FFFFFF"/>
              <w:bottom w:val="single" w:sz="48" w:space="0" w:color="FFFFFF"/>
            </w:tcBorders>
            <w:shd w:val="clear" w:color="auto" w:fill="F6F6F6"/>
          </w:tcPr>
          <w:p w14:paraId="565A8ACC" w14:textId="77777777" w:rsidR="0049091E" w:rsidRPr="00BB73CE" w:rsidRDefault="0049091E" w:rsidP="00796BF7">
            <w:pPr>
              <w:tabs>
                <w:tab w:val="left" w:pos="2548"/>
              </w:tabs>
              <w:spacing w:line="276" w:lineRule="auto"/>
              <w:rPr>
                <w:rFonts w:ascii="Arial" w:eastAsia="Times New Roman" w:hAnsi="Arial" w:cs="Arial"/>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bookmarkStart w:id="3" w:name="Check1"/>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bookmarkEnd w:id="3"/>
            <w:r w:rsidRPr="00BB73CE">
              <w:rPr>
                <w:rFonts w:ascii="Arial" w:eastAsia="Times New Roman" w:hAnsi="Arial" w:cs="Arial"/>
                <w:color w:val="000000"/>
              </w:rPr>
              <w:t xml:space="preserve"> Individual basis only</w:t>
            </w:r>
          </w:p>
          <w:p w14:paraId="6A8B84F4" w14:textId="77777777" w:rsidR="0049091E" w:rsidRPr="00BB73CE" w:rsidRDefault="0049091E" w:rsidP="00796BF7">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Consolidated basis only</w:t>
            </w:r>
          </w:p>
          <w:p w14:paraId="05788479" w14:textId="77777777" w:rsidR="0049091E" w:rsidRPr="004120EA" w:rsidRDefault="0049091E" w:rsidP="00796BF7">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Individual and consolidated basis</w:t>
            </w:r>
          </w:p>
        </w:tc>
      </w:tr>
      <w:tr w:rsidR="0049091E" w:rsidRPr="004120EA" w14:paraId="284E4271" w14:textId="77777777" w:rsidTr="00796BF7">
        <w:trPr>
          <w:trHeight w:val="624"/>
        </w:trPr>
        <w:tc>
          <w:tcPr>
            <w:tcW w:w="3261" w:type="dxa"/>
            <w:tcBorders>
              <w:top w:val="single" w:sz="48" w:space="0" w:color="FFFFFF"/>
              <w:bottom w:val="single" w:sz="48" w:space="0" w:color="FFFFFF"/>
            </w:tcBorders>
          </w:tcPr>
          <w:p w14:paraId="49504104" w14:textId="77777777" w:rsidR="0049091E" w:rsidRPr="00BB73CE" w:rsidRDefault="0049091E" w:rsidP="0049091E">
            <w:pPr>
              <w:pStyle w:val="ListParagraph"/>
              <w:numPr>
                <w:ilvl w:val="1"/>
                <w:numId w:val="6"/>
              </w:numPr>
              <w:spacing w:line="300" w:lineRule="auto"/>
              <w:ind w:left="1134" w:hanging="1134"/>
              <w:rPr>
                <w:rFonts w:ascii="Arial" w:eastAsia="Yu Mincho" w:hAnsi="Arial" w:cs="Arial"/>
                <w:color w:val="000000"/>
                <w:szCs w:val="20"/>
              </w:rPr>
            </w:pPr>
            <w:r>
              <w:rPr>
                <w:rFonts w:ascii="Arial" w:eastAsia="Yu Mincho" w:hAnsi="Arial" w:cs="Arial"/>
                <w:iCs/>
                <w:color w:val="000000"/>
              </w:rPr>
              <w:t>P</w:t>
            </w:r>
            <w:r w:rsidRPr="00C2359D">
              <w:rPr>
                <w:rFonts w:ascii="Arial" w:eastAsia="Yu Mincho" w:hAnsi="Arial" w:cs="Arial"/>
                <w:iCs/>
                <w:color w:val="000000"/>
              </w:rPr>
              <w:t xml:space="preserve">lease list the group firms on behalf of which the application is also being made </w:t>
            </w:r>
            <w:r>
              <w:rPr>
                <w:rFonts w:ascii="Arial" w:eastAsia="Yu Mincho" w:hAnsi="Arial" w:cs="Arial"/>
                <w:iCs/>
                <w:color w:val="000000"/>
              </w:rPr>
              <w:t xml:space="preserve">and </w:t>
            </w:r>
            <w:r w:rsidRPr="00C2359D">
              <w:rPr>
                <w:rFonts w:ascii="Arial" w:eastAsia="Yu Mincho" w:hAnsi="Arial" w:cs="Arial"/>
                <w:iCs/>
                <w:color w:val="000000"/>
              </w:rPr>
              <w:t xml:space="preserve">provide separate figures </w:t>
            </w:r>
            <w:r>
              <w:rPr>
                <w:rFonts w:ascii="Arial" w:eastAsia="Yu Mincho" w:hAnsi="Arial" w:cs="Arial"/>
                <w:iCs/>
                <w:color w:val="000000"/>
              </w:rPr>
              <w:t>(</w:t>
            </w:r>
            <w:r w:rsidRPr="00C2359D">
              <w:rPr>
                <w:rFonts w:ascii="Arial" w:eastAsia="Yu Mincho" w:hAnsi="Arial" w:cs="Arial"/>
                <w:iCs/>
                <w:color w:val="000000"/>
              </w:rPr>
              <w:t>as appropriate</w:t>
            </w:r>
            <w:r>
              <w:rPr>
                <w:rFonts w:ascii="Arial" w:eastAsia="Yu Mincho" w:hAnsi="Arial" w:cs="Arial"/>
                <w:iCs/>
                <w:color w:val="000000"/>
              </w:rPr>
              <w:t>)</w:t>
            </w:r>
          </w:p>
        </w:tc>
        <w:tc>
          <w:tcPr>
            <w:tcW w:w="5669" w:type="dxa"/>
            <w:tcBorders>
              <w:top w:val="single" w:sz="48" w:space="0" w:color="FFFFFF"/>
              <w:bottom w:val="single" w:sz="48" w:space="0" w:color="FFFFFF"/>
            </w:tcBorders>
            <w:shd w:val="clear" w:color="auto" w:fill="F6F6F6"/>
          </w:tcPr>
          <w:p w14:paraId="26DB02CF" w14:textId="77777777" w:rsidR="0049091E" w:rsidRPr="00BB73CE" w:rsidRDefault="0049091E" w:rsidP="00796BF7">
            <w:pPr>
              <w:tabs>
                <w:tab w:val="left" w:pos="2548"/>
              </w:tabs>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3B077632" w14:textId="77777777" w:rsidR="0049091E" w:rsidRPr="00BB73CE" w:rsidRDefault="0049091E" w:rsidP="00796BF7">
            <w:pPr>
              <w:tabs>
                <w:tab w:val="left" w:pos="2548"/>
              </w:tabs>
              <w:rPr>
                <w:rFonts w:ascii="Arial" w:eastAsia="Times New Roman" w:hAnsi="Arial" w:cs="Arial"/>
                <w:color w:val="000000"/>
                <w:highlight w:val="lightGray"/>
              </w:rPr>
            </w:pPr>
          </w:p>
        </w:tc>
      </w:tr>
      <w:bookmarkEnd w:id="2"/>
    </w:tbl>
    <w:p w14:paraId="6C341347" w14:textId="7F04C172" w:rsidR="0049091E" w:rsidRPr="00094D9A" w:rsidRDefault="0049091E" w:rsidP="00094D9A">
      <w:pPr>
        <w:pBdr>
          <w:top w:val="single" w:sz="4" w:space="1" w:color="3CD7D9"/>
        </w:pBdr>
        <w:tabs>
          <w:tab w:val="left" w:pos="2432"/>
        </w:tabs>
        <w:spacing w:before="480" w:after="240" w:line="240" w:lineRule="atLeast"/>
        <w:ind w:right="-58"/>
        <w:rPr>
          <w:rFonts w:ascii="Arial" w:eastAsia="Times New Roman" w:hAnsi="Arial" w:cs="Calibri"/>
          <w:color w:val="737373"/>
          <w:sz w:val="18"/>
          <w:szCs w:val="18"/>
          <w:lang w:eastAsia="en-GB"/>
        </w:rPr>
        <w:sectPr w:rsidR="0049091E" w:rsidRPr="00094D9A" w:rsidSect="0049091E">
          <w:headerReference w:type="default" r:id="rId11"/>
          <w:footerReference w:type="default" r:id="rId12"/>
          <w:headerReference w:type="first" r:id="rId13"/>
          <w:footerReference w:type="first" r:id="rId14"/>
          <w:pgSz w:w="11906" w:h="16838"/>
          <w:pgMar w:top="1174" w:right="1304" w:bottom="998" w:left="1304" w:header="284" w:footer="624" w:gutter="0"/>
          <w:cols w:space="0"/>
          <w:docGrid w:linePitch="360"/>
        </w:sectPr>
      </w:pPr>
    </w:p>
    <w:p w14:paraId="24D473C5" w14:textId="77777777" w:rsidR="0049091E" w:rsidRPr="005C0ACB" w:rsidRDefault="0049091E" w:rsidP="0049091E">
      <w:pPr>
        <w:pStyle w:val="ListParagraph"/>
        <w:numPr>
          <w:ilvl w:val="0"/>
          <w:numId w:val="6"/>
        </w:numPr>
        <w:shd w:val="clear" w:color="auto" w:fill="12273F"/>
        <w:spacing w:after="160" w:line="259" w:lineRule="auto"/>
        <w:rPr>
          <w:rFonts w:ascii="Century Gothic" w:eastAsia="Times New Roman" w:hAnsi="Century Gothic" w:cs="Arial"/>
          <w:b/>
          <w:bCs/>
          <w:iCs/>
          <w:sz w:val="44"/>
          <w:szCs w:val="44"/>
        </w:rPr>
      </w:pPr>
      <w:r w:rsidRPr="005C0ACB">
        <w:rPr>
          <w:rFonts w:ascii="Century Gothic" w:eastAsia="Times New Roman" w:hAnsi="Century Gothic" w:cs="Arial"/>
          <w:b/>
          <w:bCs/>
          <w:iCs/>
          <w:sz w:val="44"/>
          <w:szCs w:val="44"/>
        </w:rPr>
        <w:lastRenderedPageBreak/>
        <w:tab/>
      </w:r>
      <w:r w:rsidRPr="0076665A">
        <w:rPr>
          <w:rFonts w:ascii="Century Gothic" w:eastAsia="Times New Roman" w:hAnsi="Century Gothic" w:cs="Arial"/>
          <w:b/>
          <w:bCs/>
          <w:iCs/>
          <w:sz w:val="44"/>
          <w:szCs w:val="44"/>
        </w:rPr>
        <w:t>Own funds instrument details</w:t>
      </w:r>
    </w:p>
    <w:p w14:paraId="056A127A" w14:textId="77777777" w:rsidR="0049091E" w:rsidRPr="004120EA" w:rsidRDefault="0049091E" w:rsidP="0049091E">
      <w:pPr>
        <w:shd w:val="clear" w:color="auto" w:fill="12273F"/>
        <w:spacing w:after="160" w:line="259" w:lineRule="auto"/>
        <w:rPr>
          <w:rFonts w:ascii="Arial" w:eastAsia="Times New Roman" w:hAnsi="Arial" w:cs="Arial"/>
          <w:b/>
          <w:bCs/>
          <w:iCs/>
          <w:color w:val="000000"/>
          <w:sz w:val="36"/>
          <w:szCs w:val="36"/>
        </w:rPr>
      </w:pPr>
    </w:p>
    <w:p w14:paraId="515397DA" w14:textId="77777777" w:rsidR="0049091E" w:rsidRPr="004120EA" w:rsidRDefault="0049091E" w:rsidP="0049091E">
      <w:pPr>
        <w:pBdr>
          <w:top w:val="single" w:sz="4" w:space="1" w:color="3CD7D9"/>
        </w:pBdr>
        <w:spacing w:before="480" w:after="240" w:line="240" w:lineRule="atLeast"/>
        <w:rPr>
          <w:rFonts w:ascii="Arial" w:eastAsia="Times New Roman" w:hAnsi="Arial" w:cs="Calibri"/>
          <w:color w:val="737373"/>
          <w:sz w:val="18"/>
          <w:szCs w:val="18"/>
        </w:rPr>
      </w:pPr>
    </w:p>
    <w:p w14:paraId="0EF5759E" w14:textId="77777777" w:rsidR="0049091E" w:rsidRPr="00E833B0" w:rsidRDefault="0049091E" w:rsidP="0049091E">
      <w:pPr>
        <w:pStyle w:val="ListParagraph"/>
        <w:numPr>
          <w:ilvl w:val="1"/>
          <w:numId w:val="6"/>
        </w:numPr>
        <w:spacing w:before="240" w:line="240" w:lineRule="auto"/>
        <w:ind w:left="709" w:hanging="709"/>
        <w:contextualSpacing w:val="0"/>
        <w:rPr>
          <w:rFonts w:ascii="Arial" w:eastAsia="Yu Mincho" w:hAnsi="Arial" w:cs="Arial"/>
          <w:b/>
          <w:bCs/>
          <w:iCs/>
          <w:color w:val="000000"/>
        </w:rPr>
      </w:pPr>
      <w:r>
        <w:rPr>
          <w:rFonts w:ascii="Arial" w:eastAsia="Yu Mincho" w:hAnsi="Arial" w:cs="Arial"/>
          <w:b/>
          <w:bCs/>
          <w:iCs/>
          <w:color w:val="000000"/>
        </w:rPr>
        <w:t>A</w:t>
      </w:r>
      <w:r w:rsidRPr="0076665A">
        <w:rPr>
          <w:rFonts w:ascii="Arial" w:eastAsia="Yu Mincho" w:hAnsi="Arial" w:cs="Arial"/>
          <w:b/>
          <w:bCs/>
          <w:iCs/>
          <w:color w:val="000000"/>
        </w:rPr>
        <w:t>mount and name of instrument(s)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9091E" w:rsidRPr="003D501D" w14:paraId="62E07F2F" w14:textId="77777777" w:rsidTr="00796BF7">
        <w:trPr>
          <w:trHeight w:val="397"/>
        </w:trPr>
        <w:tc>
          <w:tcPr>
            <w:tcW w:w="8362" w:type="dxa"/>
            <w:shd w:val="clear" w:color="auto" w:fill="F6F6F6"/>
          </w:tcPr>
          <w:p w14:paraId="79ADE5B1" w14:textId="77777777" w:rsidR="0049091E" w:rsidRDefault="0049091E" w:rsidP="00796BF7">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p w14:paraId="1F51B974" w14:textId="77777777" w:rsidR="0049091E" w:rsidRDefault="0049091E" w:rsidP="00796BF7">
            <w:pPr>
              <w:rPr>
                <w:rFonts w:ascii="Arial" w:eastAsia="Times New Roman" w:hAnsi="Arial" w:cs="Arial"/>
                <w:b/>
                <w:bCs/>
                <w:iCs/>
                <w:noProof/>
                <w:color w:val="000000"/>
              </w:rPr>
            </w:pPr>
          </w:p>
          <w:p w14:paraId="1D445E40" w14:textId="77777777" w:rsidR="0049091E" w:rsidRPr="003D501D" w:rsidRDefault="0049091E" w:rsidP="00796BF7">
            <w:pPr>
              <w:rPr>
                <w:rFonts w:ascii="Arial" w:eastAsia="Times New Roman" w:hAnsi="Arial" w:cs="Arial"/>
                <w:b/>
                <w:bCs/>
                <w:iCs/>
                <w:noProof/>
                <w:color w:val="000000"/>
              </w:rPr>
            </w:pPr>
            <w:r>
              <w:rPr>
                <w:rFonts w:ascii="Arial" w:eastAsia="Times New Roman" w:hAnsi="Arial" w:cs="Arial"/>
                <w:b/>
                <w:bCs/>
                <w:iCs/>
                <w:noProof/>
                <w:color w:val="000000"/>
              </w:rPr>
              <w:t xml:space="preserve">  </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597C2848" w14:textId="77777777" w:rsidR="0049091E" w:rsidRPr="0076665A" w:rsidRDefault="0049091E" w:rsidP="0049091E">
      <w:pPr>
        <w:spacing w:after="0" w:line="300" w:lineRule="auto"/>
        <w:rPr>
          <w:rFonts w:ascii="Arial" w:eastAsia="Yu Mincho" w:hAnsi="Arial" w:cs="Arial"/>
          <w:iCs/>
          <w:color w:val="000000"/>
        </w:rPr>
      </w:pPr>
    </w:p>
    <w:p w14:paraId="0B2235D0" w14:textId="77777777" w:rsidR="0049091E" w:rsidRPr="00E833B0" w:rsidRDefault="0049091E" w:rsidP="0049091E">
      <w:pPr>
        <w:pStyle w:val="ListParagraph"/>
        <w:numPr>
          <w:ilvl w:val="1"/>
          <w:numId w:val="6"/>
        </w:numPr>
        <w:spacing w:line="240" w:lineRule="auto"/>
        <w:ind w:left="709" w:hanging="709"/>
        <w:contextualSpacing w:val="0"/>
        <w:rPr>
          <w:rFonts w:ascii="Arial" w:eastAsia="Yu Mincho" w:hAnsi="Arial" w:cs="Arial"/>
          <w:b/>
          <w:bCs/>
          <w:iCs/>
          <w:color w:val="000000"/>
        </w:rPr>
      </w:pPr>
      <w:r>
        <w:rPr>
          <w:rFonts w:ascii="Arial" w:eastAsia="Yu Mincho" w:hAnsi="Arial" w:cs="Arial"/>
          <w:b/>
          <w:bCs/>
          <w:iCs/>
          <w:color w:val="000000"/>
        </w:rPr>
        <w:t>ISIN No. (s)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9091E" w:rsidRPr="003D501D" w14:paraId="0A6D8AC5" w14:textId="77777777" w:rsidTr="00796BF7">
        <w:trPr>
          <w:trHeight w:val="397"/>
        </w:trPr>
        <w:tc>
          <w:tcPr>
            <w:tcW w:w="8362" w:type="dxa"/>
            <w:shd w:val="clear" w:color="auto" w:fill="F6F6F6"/>
          </w:tcPr>
          <w:p w14:paraId="3A77365E" w14:textId="77777777" w:rsidR="0049091E" w:rsidRPr="003D501D" w:rsidRDefault="0049091E" w:rsidP="00796BF7">
            <w:pPr>
              <w:rPr>
                <w:rFonts w:ascii="Arial" w:eastAsia="Times New Roman" w:hAnsi="Arial" w:cs="Arial"/>
                <w:b/>
                <w:bCs/>
                <w:iCs/>
                <w:noProof/>
                <w:color w:val="000000"/>
              </w:rPr>
            </w:pPr>
            <w:r>
              <w:rPr>
                <w:rFonts w:ascii="Arial" w:eastAsia="Times New Roman" w:hAnsi="Arial" w:cs="Arial"/>
                <w:b/>
                <w:bCs/>
                <w:iCs/>
                <w:noProof/>
                <w:color w:val="000000"/>
              </w:rPr>
              <w:t xml:space="preserve">  </w:t>
            </w:r>
            <w:r>
              <w:rPr>
                <w:rFonts w:ascii="Arial" w:eastAsia="Times New Roman" w:hAnsi="Arial" w:cs="Arial"/>
                <w:b/>
                <w:bCs/>
                <w:iCs/>
                <w:noProof/>
                <w:color w:val="000000"/>
              </w:rPr>
              <w:fldChar w:fldCharType="begin">
                <w:ffData>
                  <w:name w:val=""/>
                  <w:enabled/>
                  <w:calcOnExit w:val="0"/>
                  <w:textInput/>
                </w:ffData>
              </w:fldChar>
            </w:r>
            <w:r>
              <w:rPr>
                <w:rFonts w:ascii="Arial" w:eastAsia="Times New Roman" w:hAnsi="Arial" w:cs="Arial"/>
                <w:b/>
                <w:bCs/>
                <w:iCs/>
                <w:noProof/>
                <w:color w:val="000000"/>
              </w:rPr>
              <w:instrText xml:space="preserve"> FORMTEXT </w:instrText>
            </w:r>
            <w:r>
              <w:rPr>
                <w:rFonts w:ascii="Arial" w:eastAsia="Times New Roman" w:hAnsi="Arial" w:cs="Arial"/>
                <w:b/>
                <w:bCs/>
                <w:iCs/>
                <w:noProof/>
                <w:color w:val="000000"/>
              </w:rPr>
            </w:r>
            <w:r>
              <w:rPr>
                <w:rFonts w:ascii="Arial" w:eastAsia="Times New Roman" w:hAnsi="Arial" w:cs="Arial"/>
                <w:b/>
                <w:bCs/>
                <w:iCs/>
                <w:noProof/>
                <w:color w:val="000000"/>
              </w:rPr>
              <w:fldChar w:fldCharType="separate"/>
            </w:r>
            <w:r>
              <w:rPr>
                <w:rFonts w:ascii="Arial" w:eastAsia="Times New Roman" w:hAnsi="Arial" w:cs="Arial"/>
                <w:b/>
                <w:bCs/>
                <w:iCs/>
                <w:noProof/>
                <w:color w:val="000000"/>
              </w:rPr>
              <w:t> </w:t>
            </w:r>
            <w:r>
              <w:rPr>
                <w:rFonts w:ascii="Arial" w:eastAsia="Times New Roman" w:hAnsi="Arial" w:cs="Arial"/>
                <w:b/>
                <w:bCs/>
                <w:iCs/>
                <w:noProof/>
                <w:color w:val="000000"/>
              </w:rPr>
              <w:t> </w:t>
            </w:r>
            <w:r>
              <w:rPr>
                <w:rFonts w:ascii="Arial" w:eastAsia="Times New Roman" w:hAnsi="Arial" w:cs="Arial"/>
                <w:b/>
                <w:bCs/>
                <w:iCs/>
                <w:noProof/>
                <w:color w:val="000000"/>
              </w:rPr>
              <w:t> </w:t>
            </w:r>
            <w:r>
              <w:rPr>
                <w:rFonts w:ascii="Arial" w:eastAsia="Times New Roman" w:hAnsi="Arial" w:cs="Arial"/>
                <w:b/>
                <w:bCs/>
                <w:iCs/>
                <w:noProof/>
                <w:color w:val="000000"/>
              </w:rPr>
              <w:t> </w:t>
            </w:r>
            <w:r>
              <w:rPr>
                <w:rFonts w:ascii="Arial" w:eastAsia="Times New Roman" w:hAnsi="Arial" w:cs="Arial"/>
                <w:b/>
                <w:bCs/>
                <w:iCs/>
                <w:noProof/>
                <w:color w:val="000000"/>
              </w:rPr>
              <w:t> </w:t>
            </w:r>
            <w:r>
              <w:rPr>
                <w:rFonts w:ascii="Arial" w:eastAsia="Times New Roman" w:hAnsi="Arial" w:cs="Arial"/>
                <w:b/>
                <w:bCs/>
                <w:iCs/>
                <w:noProof/>
                <w:color w:val="000000"/>
              </w:rPr>
              <w:fldChar w:fldCharType="end"/>
            </w:r>
          </w:p>
        </w:tc>
      </w:tr>
    </w:tbl>
    <w:p w14:paraId="27715A25" w14:textId="77777777" w:rsidR="0049091E" w:rsidRPr="00E833B0" w:rsidRDefault="0049091E" w:rsidP="0049091E">
      <w:pPr>
        <w:pStyle w:val="ListParagraph"/>
        <w:spacing w:after="0" w:line="300" w:lineRule="auto"/>
        <w:ind w:left="709"/>
        <w:contextualSpacing w:val="0"/>
        <w:rPr>
          <w:rFonts w:ascii="Arial" w:eastAsia="Yu Mincho" w:hAnsi="Arial" w:cs="Arial"/>
          <w:b/>
          <w:bCs/>
          <w:iCs/>
          <w:color w:val="000000"/>
        </w:rPr>
      </w:pPr>
    </w:p>
    <w:p w14:paraId="429C0838" w14:textId="77777777" w:rsidR="0049091E" w:rsidRPr="00E833B0" w:rsidRDefault="0049091E" w:rsidP="0049091E">
      <w:pPr>
        <w:pStyle w:val="ListParagraph"/>
        <w:numPr>
          <w:ilvl w:val="1"/>
          <w:numId w:val="6"/>
        </w:numPr>
        <w:spacing w:after="160" w:line="300" w:lineRule="auto"/>
        <w:ind w:left="709" w:hanging="709"/>
        <w:contextualSpacing w:val="0"/>
        <w:rPr>
          <w:rFonts w:ascii="Arial" w:eastAsia="Yu Mincho" w:hAnsi="Arial" w:cs="Arial"/>
          <w:iCs/>
          <w:color w:val="000000"/>
        </w:rPr>
      </w:pPr>
      <w:r w:rsidRPr="0076665A">
        <w:rPr>
          <w:rFonts w:ascii="Arial" w:eastAsia="Yu Mincho" w:hAnsi="Arial" w:cs="Arial"/>
          <w:b/>
          <w:bCs/>
          <w:iCs/>
          <w:color w:val="000000"/>
        </w:rPr>
        <w:t>Date(s) of issuance</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9091E" w:rsidRPr="003D501D" w14:paraId="1101D863" w14:textId="77777777" w:rsidTr="00796BF7">
        <w:trPr>
          <w:trHeight w:val="397"/>
        </w:trPr>
        <w:tc>
          <w:tcPr>
            <w:tcW w:w="8362" w:type="dxa"/>
            <w:shd w:val="clear" w:color="auto" w:fill="F6F6F6"/>
          </w:tcPr>
          <w:p w14:paraId="76F430D2" w14:textId="77777777" w:rsidR="0049091E" w:rsidRPr="003D501D" w:rsidRDefault="0049091E" w:rsidP="00796BF7">
            <w:pPr>
              <w:rPr>
                <w:rFonts w:ascii="Arial" w:eastAsia="Times New Roman" w:hAnsi="Arial" w:cs="Arial"/>
                <w:b/>
                <w:bCs/>
                <w:iCs/>
                <w:noProof/>
                <w:color w:val="000000"/>
              </w:rPr>
            </w:pPr>
            <w:r>
              <w:rPr>
                <w:rFonts w:ascii="Arial" w:eastAsia="Times New Roman" w:hAnsi="Arial" w:cs="Arial"/>
                <w:b/>
                <w:bCs/>
                <w:iCs/>
                <w:noProof/>
                <w:color w:val="000000"/>
              </w:rPr>
              <w:t xml:space="preserve">  </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0ED6F741" w14:textId="77777777" w:rsidR="0049091E" w:rsidRPr="00E833B0" w:rsidRDefault="0049091E" w:rsidP="0049091E">
      <w:pPr>
        <w:pStyle w:val="ListParagraph"/>
        <w:numPr>
          <w:ilvl w:val="1"/>
          <w:numId w:val="6"/>
        </w:numPr>
        <w:spacing w:before="240" w:after="160" w:line="300" w:lineRule="auto"/>
        <w:ind w:left="709" w:hanging="709"/>
        <w:rPr>
          <w:rFonts w:ascii="Arial" w:eastAsia="Yu Mincho" w:hAnsi="Arial" w:cs="Arial"/>
          <w:iCs/>
          <w:color w:val="000000"/>
        </w:rPr>
      </w:pPr>
      <w:r w:rsidRPr="0076665A">
        <w:rPr>
          <w:rFonts w:ascii="Arial" w:eastAsia="Yu Mincho" w:hAnsi="Arial" w:cs="Arial"/>
          <w:b/>
          <w:bCs/>
          <w:iCs/>
          <w:color w:val="000000"/>
        </w:rPr>
        <w:t>First call date(s) (if applicable)</w:t>
      </w:r>
    </w:p>
    <w:tbl>
      <w:tblPr>
        <w:tblStyle w:val="TableGrid"/>
        <w:tblW w:w="893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4"/>
        <w:gridCol w:w="4289"/>
      </w:tblGrid>
      <w:tr w:rsidR="0049091E" w:rsidRPr="003D501D" w14:paraId="5518EF3B" w14:textId="77777777" w:rsidTr="00796BF7">
        <w:trPr>
          <w:trHeight w:val="397"/>
        </w:trPr>
        <w:tc>
          <w:tcPr>
            <w:tcW w:w="4644" w:type="dxa"/>
            <w:shd w:val="clear" w:color="auto" w:fill="F6F6F6"/>
          </w:tcPr>
          <w:p w14:paraId="67D82F4F" w14:textId="77777777" w:rsidR="0049091E" w:rsidRPr="003D501D" w:rsidRDefault="0049091E" w:rsidP="00796BF7">
            <w:pPr>
              <w:rPr>
                <w:rFonts w:ascii="Arial" w:eastAsia="Times New Roman" w:hAnsi="Arial" w:cs="Arial"/>
                <w:b/>
                <w:bCs/>
                <w:iCs/>
                <w:noProof/>
                <w:color w:val="000000"/>
              </w:rPr>
            </w:pPr>
            <w:r>
              <w:rPr>
                <w:rFonts w:ascii="Arial" w:eastAsia="Times New Roman" w:hAnsi="Arial" w:cs="Arial"/>
                <w:b/>
                <w:bCs/>
                <w:iCs/>
                <w:noProof/>
                <w:color w:val="000000"/>
              </w:rPr>
              <w:t xml:space="preserve">  </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c>
          <w:tcPr>
            <w:tcW w:w="4289" w:type="dxa"/>
            <w:shd w:val="clear" w:color="auto" w:fill="F6F6F6"/>
          </w:tcPr>
          <w:p w14:paraId="6B9BDA77" w14:textId="77777777" w:rsidR="0049091E" w:rsidRPr="00E833B0" w:rsidRDefault="0049091E" w:rsidP="00796BF7">
            <w:pPr>
              <w:rPr>
                <w:rFonts w:ascii="Arial" w:eastAsia="Times New Roman" w:hAnsi="Arial" w:cs="Arial"/>
                <w:iCs/>
                <w:noProof/>
                <w:color w:val="000000"/>
              </w:rPr>
            </w:pPr>
          </w:p>
        </w:tc>
      </w:tr>
    </w:tbl>
    <w:p w14:paraId="389E88C5" w14:textId="77777777" w:rsidR="0049091E" w:rsidRPr="00E833B0" w:rsidRDefault="0049091E" w:rsidP="0049091E">
      <w:pPr>
        <w:pStyle w:val="ListParagraph"/>
        <w:numPr>
          <w:ilvl w:val="1"/>
          <w:numId w:val="6"/>
        </w:numPr>
        <w:spacing w:before="240" w:after="160" w:line="300" w:lineRule="auto"/>
        <w:ind w:left="709" w:hanging="709"/>
        <w:rPr>
          <w:rFonts w:ascii="Arial" w:eastAsia="Yu Mincho" w:hAnsi="Arial" w:cs="Arial"/>
          <w:iCs/>
          <w:color w:val="000000"/>
        </w:rPr>
      </w:pPr>
      <w:r w:rsidRPr="0076665A">
        <w:rPr>
          <w:rFonts w:ascii="Arial" w:eastAsia="Yu Mincho" w:hAnsi="Arial" w:cs="Arial"/>
          <w:b/>
          <w:bCs/>
          <w:iCs/>
          <w:color w:val="000000"/>
        </w:rPr>
        <w:t>Date(s) when firm intends to exercise the Permission</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9091E" w:rsidRPr="003D501D" w14:paraId="38ACE746" w14:textId="77777777" w:rsidTr="00796BF7">
        <w:trPr>
          <w:trHeight w:val="397"/>
        </w:trPr>
        <w:tc>
          <w:tcPr>
            <w:tcW w:w="8362" w:type="dxa"/>
            <w:shd w:val="clear" w:color="auto" w:fill="F6F6F6"/>
          </w:tcPr>
          <w:p w14:paraId="34F1BB58" w14:textId="77777777" w:rsidR="0049091E" w:rsidRPr="003D501D" w:rsidRDefault="0049091E" w:rsidP="00796BF7">
            <w:pPr>
              <w:rPr>
                <w:rFonts w:ascii="Arial" w:eastAsia="Times New Roman" w:hAnsi="Arial" w:cs="Arial"/>
                <w:b/>
                <w:bCs/>
                <w:iCs/>
                <w:noProof/>
                <w:color w:val="000000"/>
              </w:rPr>
            </w:pPr>
            <w:r>
              <w:rPr>
                <w:rFonts w:ascii="Arial" w:eastAsia="Times New Roman" w:hAnsi="Arial" w:cs="Arial"/>
                <w:b/>
                <w:bCs/>
                <w:iCs/>
                <w:noProof/>
                <w:color w:val="000000"/>
              </w:rPr>
              <w:t xml:space="preserve">  </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5C314D22" w14:textId="77777777" w:rsidR="0049091E" w:rsidRPr="00E833B0" w:rsidRDefault="0049091E" w:rsidP="0049091E">
      <w:pPr>
        <w:pStyle w:val="ListParagraph"/>
        <w:numPr>
          <w:ilvl w:val="1"/>
          <w:numId w:val="6"/>
        </w:numPr>
        <w:spacing w:before="240" w:after="160" w:line="300" w:lineRule="auto"/>
        <w:ind w:left="709" w:hanging="709"/>
        <w:rPr>
          <w:rFonts w:ascii="Arial" w:eastAsia="Yu Mincho" w:hAnsi="Arial" w:cs="Arial"/>
          <w:iCs/>
          <w:color w:val="000000"/>
        </w:rPr>
      </w:pPr>
      <w:r w:rsidRPr="0076665A">
        <w:rPr>
          <w:rFonts w:ascii="Arial" w:eastAsia="Yu Mincho" w:hAnsi="Arial" w:cs="Arial"/>
          <w:b/>
          <w:bCs/>
          <w:iCs/>
          <w:color w:val="000000"/>
        </w:rPr>
        <w:t>Regulatory capital classification of each instrument (</w:t>
      </w:r>
      <w:proofErr w:type="spellStart"/>
      <w:r w:rsidRPr="0076665A">
        <w:rPr>
          <w:rFonts w:ascii="Arial" w:eastAsia="Yu Mincho" w:hAnsi="Arial" w:cs="Arial"/>
          <w:b/>
          <w:bCs/>
          <w:iCs/>
          <w:color w:val="000000"/>
        </w:rPr>
        <w:t>eg</w:t>
      </w:r>
      <w:proofErr w:type="spellEnd"/>
      <w:r w:rsidRPr="0076665A">
        <w:rPr>
          <w:rFonts w:ascii="Arial" w:eastAsia="Yu Mincho" w:hAnsi="Arial" w:cs="Arial"/>
          <w:b/>
          <w:bCs/>
          <w:iCs/>
          <w:color w:val="000000"/>
        </w:rPr>
        <w:t xml:space="preserve"> CET1, AT1, T2)</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9091E" w:rsidRPr="003D501D" w14:paraId="5A6F2888" w14:textId="77777777" w:rsidTr="00796BF7">
        <w:trPr>
          <w:trHeight w:val="397"/>
        </w:trPr>
        <w:tc>
          <w:tcPr>
            <w:tcW w:w="8362" w:type="dxa"/>
            <w:shd w:val="clear" w:color="auto" w:fill="F6F6F6"/>
          </w:tcPr>
          <w:p w14:paraId="6A68EFFC" w14:textId="77777777" w:rsidR="0049091E" w:rsidRDefault="0049091E" w:rsidP="00796BF7">
            <w:pPr>
              <w:tabs>
                <w:tab w:val="left" w:pos="3165"/>
              </w:tabs>
              <w:rPr>
                <w:rFonts w:ascii="Arial" w:eastAsia="Times New Roman" w:hAnsi="Arial" w:cs="Arial"/>
                <w:b/>
                <w:bCs/>
                <w:iCs/>
                <w:noProof/>
                <w:color w:val="000000"/>
              </w:rPr>
            </w:pPr>
            <w:r>
              <w:rPr>
                <w:rFonts w:ascii="Arial" w:eastAsia="Times New Roman" w:hAnsi="Arial" w:cs="Arial"/>
                <w:b/>
                <w:bCs/>
                <w:iCs/>
                <w:noProof/>
                <w:color w:val="000000"/>
              </w:rPr>
              <w:t xml:space="preserve">  </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r>
              <w:rPr>
                <w:rFonts w:ascii="Arial" w:eastAsia="Times New Roman" w:hAnsi="Arial" w:cs="Arial"/>
                <w:b/>
                <w:bCs/>
                <w:iCs/>
                <w:noProof/>
                <w:color w:val="000000"/>
              </w:rPr>
              <w:tab/>
            </w:r>
          </w:p>
          <w:p w14:paraId="56CB8032" w14:textId="77777777" w:rsidR="0049091E" w:rsidRDefault="0049091E" w:rsidP="00796BF7">
            <w:pPr>
              <w:rPr>
                <w:rFonts w:ascii="Arial" w:eastAsia="Times New Roman" w:hAnsi="Arial" w:cs="Arial"/>
                <w:b/>
                <w:bCs/>
                <w:iCs/>
                <w:noProof/>
                <w:color w:val="000000"/>
              </w:rPr>
            </w:pPr>
          </w:p>
          <w:p w14:paraId="5801DC59" w14:textId="77777777" w:rsidR="0049091E" w:rsidRPr="003D501D" w:rsidRDefault="0049091E" w:rsidP="00796BF7">
            <w:pPr>
              <w:rPr>
                <w:rFonts w:ascii="Arial" w:eastAsia="Times New Roman" w:hAnsi="Arial" w:cs="Arial"/>
                <w:b/>
                <w:bCs/>
                <w:iCs/>
                <w:noProof/>
                <w:color w:val="000000"/>
              </w:rPr>
            </w:pPr>
          </w:p>
        </w:tc>
      </w:tr>
    </w:tbl>
    <w:p w14:paraId="7572E051" w14:textId="77777777" w:rsidR="0049091E" w:rsidRPr="00E833B0" w:rsidRDefault="0049091E" w:rsidP="0049091E">
      <w:pPr>
        <w:pStyle w:val="ListParagraph"/>
        <w:spacing w:after="160" w:line="240" w:lineRule="auto"/>
        <w:ind w:left="709"/>
        <w:rPr>
          <w:rFonts w:ascii="Arial" w:eastAsia="Yu Mincho" w:hAnsi="Arial" w:cs="Arial"/>
          <w:iCs/>
          <w:color w:val="000000"/>
        </w:rPr>
      </w:pPr>
    </w:p>
    <w:p w14:paraId="53146761" w14:textId="77777777" w:rsidR="0049091E" w:rsidRPr="00E833B0" w:rsidRDefault="0049091E" w:rsidP="0049091E">
      <w:pPr>
        <w:pStyle w:val="ListParagraph"/>
        <w:numPr>
          <w:ilvl w:val="1"/>
          <w:numId w:val="6"/>
        </w:numPr>
        <w:spacing w:before="240" w:after="160" w:line="300" w:lineRule="auto"/>
        <w:ind w:left="709" w:hanging="709"/>
        <w:rPr>
          <w:rFonts w:ascii="Arial" w:eastAsia="Yu Mincho" w:hAnsi="Arial" w:cs="Arial"/>
          <w:iCs/>
          <w:color w:val="000000"/>
        </w:rPr>
      </w:pPr>
      <w:r w:rsidRPr="0076665A">
        <w:rPr>
          <w:rFonts w:ascii="Arial" w:eastAsia="Yu Mincho" w:hAnsi="Arial" w:cs="Arial"/>
          <w:b/>
          <w:bCs/>
          <w:iCs/>
          <w:color w:val="000000"/>
        </w:rPr>
        <w:t>Intended reduction method (</w:t>
      </w:r>
      <w:proofErr w:type="spellStart"/>
      <w:r w:rsidRPr="0076665A">
        <w:rPr>
          <w:rFonts w:ascii="Arial" w:eastAsia="Yu Mincho" w:hAnsi="Arial" w:cs="Arial"/>
          <w:b/>
          <w:bCs/>
          <w:iCs/>
          <w:color w:val="000000"/>
        </w:rPr>
        <w:t>eg</w:t>
      </w:r>
      <w:proofErr w:type="spellEnd"/>
      <w:r w:rsidRPr="0076665A">
        <w:rPr>
          <w:rFonts w:ascii="Arial" w:eastAsia="Yu Mincho" w:hAnsi="Arial" w:cs="Arial"/>
          <w:b/>
          <w:bCs/>
          <w:iCs/>
          <w:color w:val="000000"/>
        </w:rPr>
        <w:t xml:space="preserve"> reduction, repurchase, call or redemption)</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9091E" w:rsidRPr="003D501D" w14:paraId="2A90923F" w14:textId="77777777" w:rsidTr="00796BF7">
        <w:trPr>
          <w:trHeight w:val="397"/>
        </w:trPr>
        <w:tc>
          <w:tcPr>
            <w:tcW w:w="8362" w:type="dxa"/>
            <w:shd w:val="clear" w:color="auto" w:fill="F6F6F6"/>
          </w:tcPr>
          <w:p w14:paraId="50CEDA11" w14:textId="77777777" w:rsidR="0049091E" w:rsidRPr="003D501D" w:rsidRDefault="0049091E" w:rsidP="00796BF7">
            <w:pPr>
              <w:rPr>
                <w:rFonts w:ascii="Arial" w:eastAsia="Times New Roman" w:hAnsi="Arial" w:cs="Arial"/>
                <w:b/>
                <w:bCs/>
                <w:iCs/>
                <w:noProof/>
                <w:color w:val="000000"/>
              </w:rPr>
            </w:pPr>
            <w:r>
              <w:rPr>
                <w:rFonts w:ascii="Arial" w:eastAsia="Times New Roman" w:hAnsi="Arial" w:cs="Arial"/>
                <w:b/>
                <w:bCs/>
                <w:iCs/>
                <w:noProof/>
                <w:color w:val="000000"/>
              </w:rPr>
              <w:t xml:space="preserve">  </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07474D16" w14:textId="77777777" w:rsidR="0049091E" w:rsidRDefault="0049091E" w:rsidP="0049091E">
      <w:pPr>
        <w:spacing w:after="160" w:line="300" w:lineRule="auto"/>
        <w:ind w:left="709"/>
        <w:rPr>
          <w:rFonts w:ascii="Arial" w:eastAsia="Yu Mincho" w:hAnsi="Arial" w:cs="Arial"/>
          <w:b/>
          <w:bCs/>
          <w:iCs/>
          <w:color w:val="000000"/>
        </w:rPr>
      </w:pPr>
    </w:p>
    <w:p w14:paraId="5565026F" w14:textId="77777777" w:rsidR="0049091E" w:rsidRDefault="0049091E" w:rsidP="0049091E">
      <w:pPr>
        <w:spacing w:after="160" w:line="300" w:lineRule="auto"/>
        <w:ind w:left="709"/>
        <w:rPr>
          <w:rFonts w:ascii="Arial" w:eastAsia="Yu Mincho" w:hAnsi="Arial" w:cs="Arial"/>
          <w:b/>
          <w:bCs/>
          <w:iCs/>
          <w:color w:val="000000"/>
        </w:rPr>
      </w:pPr>
    </w:p>
    <w:p w14:paraId="744B54D1" w14:textId="77777777" w:rsidR="0049091E" w:rsidRDefault="0049091E" w:rsidP="0049091E">
      <w:pPr>
        <w:spacing w:before="240" w:after="160" w:line="240" w:lineRule="auto"/>
        <w:rPr>
          <w:rFonts w:ascii="Arial" w:eastAsia="Yu Mincho" w:hAnsi="Arial" w:cs="Arial"/>
          <w:iCs/>
          <w:color w:val="000000"/>
        </w:rPr>
      </w:pPr>
    </w:p>
    <w:p w14:paraId="7A56BE39" w14:textId="77777777" w:rsidR="0049091E" w:rsidRPr="005C0ACB" w:rsidRDefault="0049091E" w:rsidP="0049091E">
      <w:pPr>
        <w:pStyle w:val="ListParagraph"/>
        <w:numPr>
          <w:ilvl w:val="0"/>
          <w:numId w:val="6"/>
        </w:numPr>
        <w:shd w:val="clear" w:color="auto" w:fill="12273F"/>
        <w:spacing w:after="160" w:line="259" w:lineRule="auto"/>
        <w:rPr>
          <w:rFonts w:ascii="Century Gothic" w:eastAsia="Times New Roman" w:hAnsi="Century Gothic" w:cs="Arial"/>
          <w:b/>
          <w:bCs/>
          <w:iCs/>
          <w:sz w:val="44"/>
          <w:szCs w:val="44"/>
        </w:rPr>
      </w:pPr>
      <w:r w:rsidRPr="005C0ACB">
        <w:rPr>
          <w:rFonts w:ascii="Century Gothic" w:eastAsia="Times New Roman" w:hAnsi="Century Gothic" w:cs="Arial"/>
          <w:b/>
          <w:bCs/>
          <w:iCs/>
          <w:sz w:val="44"/>
          <w:szCs w:val="44"/>
        </w:rPr>
        <w:lastRenderedPageBreak/>
        <w:tab/>
      </w:r>
      <w:r w:rsidRPr="0076665A">
        <w:rPr>
          <w:rFonts w:ascii="Century Gothic" w:eastAsia="Times New Roman" w:hAnsi="Century Gothic" w:cs="Arial"/>
          <w:b/>
          <w:bCs/>
          <w:iCs/>
          <w:sz w:val="44"/>
          <w:szCs w:val="44"/>
        </w:rPr>
        <w:t>Self-assessment of the PRA rules for a reduction in own funds instruments</w:t>
      </w:r>
    </w:p>
    <w:p w14:paraId="6CCC825F" w14:textId="77777777" w:rsidR="0049091E" w:rsidRPr="004120EA" w:rsidRDefault="0049091E" w:rsidP="0049091E">
      <w:pPr>
        <w:shd w:val="clear" w:color="auto" w:fill="12273F"/>
        <w:spacing w:after="160" w:line="259" w:lineRule="auto"/>
        <w:rPr>
          <w:rFonts w:ascii="Arial" w:eastAsia="Times New Roman" w:hAnsi="Arial" w:cs="Arial"/>
          <w:b/>
          <w:bCs/>
          <w:iCs/>
          <w:color w:val="000000"/>
          <w:sz w:val="36"/>
          <w:szCs w:val="36"/>
        </w:rPr>
      </w:pPr>
    </w:p>
    <w:p w14:paraId="7CB2657A" w14:textId="77777777" w:rsidR="0049091E" w:rsidRPr="004120EA" w:rsidRDefault="0049091E" w:rsidP="0049091E">
      <w:pPr>
        <w:pBdr>
          <w:top w:val="single" w:sz="4" w:space="1" w:color="3CD7D9"/>
        </w:pBdr>
        <w:spacing w:before="480" w:after="240" w:line="240" w:lineRule="atLeast"/>
        <w:rPr>
          <w:rFonts w:ascii="Arial" w:eastAsia="Times New Roman" w:hAnsi="Arial" w:cs="Calibri"/>
          <w:color w:val="737373"/>
          <w:sz w:val="18"/>
          <w:szCs w:val="18"/>
        </w:rPr>
      </w:pPr>
    </w:p>
    <w:p w14:paraId="23B653AD" w14:textId="747E3B75" w:rsidR="0049091E" w:rsidRPr="00AA4011" w:rsidRDefault="0049091E" w:rsidP="0049091E">
      <w:pPr>
        <w:rPr>
          <w:rFonts w:ascii="Arial" w:eastAsia="Yu Mincho" w:hAnsi="Arial" w:cs="Arial"/>
          <w:iCs/>
          <w:color w:val="000000"/>
          <w:sz w:val="24"/>
          <w:szCs w:val="24"/>
        </w:rPr>
      </w:pPr>
      <w:r w:rsidRPr="008A4E83">
        <w:rPr>
          <w:rFonts w:ascii="Arial" w:eastAsia="Yu Mincho" w:hAnsi="Arial" w:cs="Arial"/>
          <w:iCs/>
          <w:color w:val="000000"/>
          <w:sz w:val="24"/>
          <w:szCs w:val="24"/>
        </w:rPr>
        <w:t xml:space="preserve">The following table should be completed in order to confirm compliance with the PRA rules on the requirements for a reduction of capital instruments: </w:t>
      </w:r>
      <w:hyperlink r:id="rId15" w:history="1">
        <w:r w:rsidRPr="008A4E83">
          <w:rPr>
            <w:rStyle w:val="Hyperlink"/>
            <w:rFonts w:ascii="Arial" w:eastAsia="Yu Mincho" w:hAnsi="Arial" w:cs="Arial"/>
            <w:iCs/>
            <w:sz w:val="24"/>
            <w:szCs w:val="24"/>
          </w:rPr>
          <w:t>Chapter 4, Own Funds (CRR) Part of the PRA Rulebook.</w:t>
        </w:r>
      </w:hyperlink>
      <w:r w:rsidRPr="008A4E83">
        <w:rPr>
          <w:rFonts w:ascii="Arial" w:eastAsia="Yu Mincho" w:hAnsi="Arial" w:cs="Arial"/>
          <w:iCs/>
          <w:color w:val="000000"/>
          <w:sz w:val="24"/>
          <w:szCs w:val="24"/>
        </w:rPr>
        <w:t xml:space="preserve"> Where applicable, information should be provided at the individual, consolidated, and sub-consolidated level.</w:t>
      </w:r>
    </w:p>
    <w:tbl>
      <w:tblPr>
        <w:tblStyle w:val="TableGrid"/>
        <w:tblW w:w="9072" w:type="dxa"/>
        <w:tblInd w:w="108" w:type="dxa"/>
        <w:tblLook w:val="04A0" w:firstRow="1" w:lastRow="0" w:firstColumn="1" w:lastColumn="0" w:noHBand="0" w:noVBand="1"/>
      </w:tblPr>
      <w:tblGrid>
        <w:gridCol w:w="4962"/>
        <w:gridCol w:w="4110"/>
      </w:tblGrid>
      <w:tr w:rsidR="0049091E" w:rsidRPr="008A4E83" w14:paraId="133C1654" w14:textId="77777777" w:rsidTr="00F5137D">
        <w:tc>
          <w:tcPr>
            <w:tcW w:w="4962" w:type="dxa"/>
            <w:shd w:val="clear" w:color="auto" w:fill="A7EDEE"/>
          </w:tcPr>
          <w:p w14:paraId="11E19AA7" w14:textId="77777777" w:rsidR="0049091E" w:rsidRPr="008A4E83" w:rsidRDefault="0049091E" w:rsidP="00796BF7">
            <w:pPr>
              <w:spacing w:before="120" w:after="120"/>
              <w:rPr>
                <w:rFonts w:ascii="Arial" w:hAnsi="Arial" w:cs="Arial"/>
                <w:b/>
                <w:bCs/>
                <w:sz w:val="24"/>
                <w:szCs w:val="24"/>
              </w:rPr>
            </w:pPr>
            <w:r w:rsidRPr="008A4E83">
              <w:rPr>
                <w:rFonts w:ascii="Arial" w:hAnsi="Arial" w:cs="Arial"/>
                <w:b/>
                <w:bCs/>
                <w:sz w:val="24"/>
                <w:szCs w:val="24"/>
              </w:rPr>
              <w:t>Article 30 requirement:</w:t>
            </w:r>
          </w:p>
        </w:tc>
        <w:tc>
          <w:tcPr>
            <w:tcW w:w="4110" w:type="dxa"/>
            <w:shd w:val="clear" w:color="auto" w:fill="A7EDEE"/>
            <w:vAlign w:val="center"/>
          </w:tcPr>
          <w:p w14:paraId="16F6C04D" w14:textId="77777777" w:rsidR="0049091E" w:rsidRPr="008A4E83" w:rsidRDefault="0049091E" w:rsidP="00796BF7">
            <w:pPr>
              <w:rPr>
                <w:rFonts w:ascii="Arial" w:hAnsi="Arial" w:cs="Arial"/>
                <w:b/>
                <w:bCs/>
                <w:sz w:val="24"/>
                <w:szCs w:val="24"/>
              </w:rPr>
            </w:pPr>
            <w:r w:rsidRPr="008A4E83">
              <w:rPr>
                <w:rFonts w:ascii="Arial" w:hAnsi="Arial" w:cs="Arial"/>
                <w:b/>
                <w:bCs/>
                <w:sz w:val="24"/>
                <w:szCs w:val="24"/>
              </w:rPr>
              <w:t>Applicant firm attestation</w:t>
            </w: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110"/>
      </w:tblGrid>
      <w:tr w:rsidR="0049091E" w:rsidRPr="008A4E83" w14:paraId="2079F564" w14:textId="77777777" w:rsidTr="00F5137D">
        <w:tc>
          <w:tcPr>
            <w:tcW w:w="4962" w:type="dxa"/>
          </w:tcPr>
          <w:p w14:paraId="03314B84" w14:textId="77777777" w:rsidR="0049091E" w:rsidRPr="008A4E83" w:rsidRDefault="0049091E" w:rsidP="00796BF7">
            <w:pPr>
              <w:jc w:val="both"/>
              <w:rPr>
                <w:rFonts w:ascii="Arial" w:hAnsi="Arial" w:cs="Arial"/>
                <w:bCs/>
              </w:rPr>
            </w:pPr>
            <w:r w:rsidRPr="008A4E83">
              <w:rPr>
                <w:rFonts w:ascii="Arial" w:hAnsi="Arial" w:cs="Arial"/>
                <w:bCs/>
              </w:rPr>
              <w:t xml:space="preserve">(a)  </w:t>
            </w:r>
            <w:r w:rsidRPr="008A4E83">
              <w:rPr>
                <w:rFonts w:ascii="Arial" w:hAnsi="Arial" w:cs="Arial"/>
              </w:rPr>
              <w:t>a well-founded explanation of the rationale for performing any of the actions referred to in Article 77(1);</w:t>
            </w:r>
          </w:p>
        </w:tc>
        <w:tc>
          <w:tcPr>
            <w:tcW w:w="4110" w:type="dxa"/>
            <w:shd w:val="clear" w:color="auto" w:fill="F6F6F6"/>
          </w:tcPr>
          <w:p w14:paraId="152AC6DF"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251C0A2B" w14:textId="77777777" w:rsidR="0049091E" w:rsidRPr="008A4E83" w:rsidRDefault="0049091E" w:rsidP="00796BF7">
            <w:pPr>
              <w:rPr>
                <w:rFonts w:ascii="Arial" w:hAnsi="Arial" w:cs="Arial"/>
                <w:bCs/>
                <w:sz w:val="20"/>
                <w:szCs w:val="20"/>
              </w:rPr>
            </w:pPr>
          </w:p>
        </w:tc>
      </w:tr>
      <w:tr w:rsidR="0049091E" w:rsidRPr="008A4E83" w14:paraId="650F0FCE" w14:textId="77777777" w:rsidTr="00F5137D">
        <w:tc>
          <w:tcPr>
            <w:tcW w:w="4962" w:type="dxa"/>
          </w:tcPr>
          <w:p w14:paraId="194149B5" w14:textId="77777777" w:rsidR="0049091E" w:rsidRPr="008A4E83" w:rsidRDefault="0049091E" w:rsidP="00796BF7">
            <w:pPr>
              <w:jc w:val="both"/>
              <w:rPr>
                <w:rFonts w:ascii="Arial" w:hAnsi="Arial" w:cs="Arial"/>
                <w:bCs/>
              </w:rPr>
            </w:pPr>
            <w:r w:rsidRPr="008A4E83">
              <w:rPr>
                <w:rFonts w:ascii="Arial" w:hAnsi="Arial" w:cs="Arial"/>
                <w:bCs/>
              </w:rPr>
              <w:t xml:space="preserve">(b)  </w:t>
            </w:r>
            <w:r w:rsidRPr="008A4E83">
              <w:rPr>
                <w:rFonts w:ascii="Arial" w:hAnsi="Arial" w:cs="Arial"/>
              </w:rPr>
              <w:t>whether the permission sought is based on point (1)(a) or (b) of Appendix 5 to the Statement of Policy – the PRA’s approach to waivers and permission under Own Funds (CRR) Part (</w:t>
            </w:r>
            <w:proofErr w:type="spellStart"/>
            <w:r w:rsidRPr="008A4E83">
              <w:rPr>
                <w:rFonts w:ascii="Arial" w:hAnsi="Arial" w:cs="Arial"/>
              </w:rPr>
              <w:t>SoP</w:t>
            </w:r>
            <w:proofErr w:type="spellEnd"/>
            <w:r w:rsidRPr="008A4E83">
              <w:rPr>
                <w:rFonts w:ascii="Arial" w:hAnsi="Arial" w:cs="Arial"/>
              </w:rPr>
              <w:t xml:space="preserve">) or whether it is a general prior permission pursuant to paragraph 2, Appendix 5 of the Statement of Policy – The PRA’s approach to waivers and permissions under Own Funds (CRR) Part of the PRA Rulebook (the </w:t>
            </w:r>
            <w:proofErr w:type="spellStart"/>
            <w:r w:rsidRPr="008A4E83">
              <w:rPr>
                <w:rFonts w:ascii="Arial" w:hAnsi="Arial" w:cs="Arial"/>
              </w:rPr>
              <w:t>SoP</w:t>
            </w:r>
            <w:proofErr w:type="spellEnd"/>
            <w:r w:rsidRPr="008A4E83">
              <w:rPr>
                <w:rFonts w:ascii="Arial" w:hAnsi="Arial" w:cs="Arial"/>
              </w:rPr>
              <w:t>);</w:t>
            </w:r>
          </w:p>
        </w:tc>
        <w:tc>
          <w:tcPr>
            <w:tcW w:w="4110" w:type="dxa"/>
            <w:shd w:val="clear" w:color="auto" w:fill="F6F6F6"/>
          </w:tcPr>
          <w:p w14:paraId="78B56830"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626AE58F" w14:textId="77777777" w:rsidR="0049091E" w:rsidRPr="008A4E83" w:rsidRDefault="0049091E" w:rsidP="00796BF7">
            <w:pPr>
              <w:rPr>
                <w:rFonts w:ascii="Arial" w:hAnsi="Arial" w:cs="Arial"/>
                <w:bCs/>
                <w:sz w:val="20"/>
                <w:szCs w:val="20"/>
              </w:rPr>
            </w:pPr>
          </w:p>
        </w:tc>
      </w:tr>
      <w:tr w:rsidR="0049091E" w:rsidRPr="008A4E83" w14:paraId="260802E7" w14:textId="77777777" w:rsidTr="00F5137D">
        <w:tc>
          <w:tcPr>
            <w:tcW w:w="4962" w:type="dxa"/>
          </w:tcPr>
          <w:p w14:paraId="19C8A7D1" w14:textId="77777777" w:rsidR="0049091E" w:rsidRPr="008A4E83" w:rsidRDefault="0049091E" w:rsidP="00796BF7">
            <w:pPr>
              <w:jc w:val="both"/>
              <w:rPr>
                <w:rFonts w:ascii="Arial" w:hAnsi="Arial" w:cs="Arial"/>
                <w:bCs/>
              </w:rPr>
            </w:pPr>
            <w:r w:rsidRPr="008A4E83">
              <w:rPr>
                <w:rFonts w:ascii="Arial" w:hAnsi="Arial" w:cs="Arial"/>
                <w:bCs/>
              </w:rPr>
              <w:t xml:space="preserve">(c)  </w:t>
            </w:r>
            <w:r w:rsidRPr="008A4E83">
              <w:rPr>
                <w:rFonts w:ascii="Arial" w:hAnsi="Arial" w:cs="Arial"/>
              </w:rPr>
              <w:t xml:space="preserve">where the institution seeks to call, redeem or repurchase Additional Tier 1 or Tier 2 instruments or related share premium accounts during the five years following their date of issuance pursuant to paragraph 5, Appendix 5 of the </w:t>
            </w:r>
            <w:proofErr w:type="spellStart"/>
            <w:r w:rsidRPr="008A4E83">
              <w:rPr>
                <w:rFonts w:ascii="Arial" w:hAnsi="Arial" w:cs="Arial"/>
              </w:rPr>
              <w:t>SoP</w:t>
            </w:r>
            <w:proofErr w:type="spellEnd"/>
            <w:r w:rsidRPr="008A4E83">
              <w:rPr>
                <w:rFonts w:ascii="Arial" w:hAnsi="Arial" w:cs="Arial"/>
              </w:rPr>
              <w:t xml:space="preserve">, how the conditions of that article are </w:t>
            </w:r>
            <w:proofErr w:type="gramStart"/>
            <w:r w:rsidRPr="008A4E83">
              <w:rPr>
                <w:rFonts w:ascii="Arial" w:hAnsi="Arial" w:cs="Arial"/>
              </w:rPr>
              <w:t>met;</w:t>
            </w:r>
            <w:proofErr w:type="gramEnd"/>
          </w:p>
        </w:tc>
        <w:tc>
          <w:tcPr>
            <w:tcW w:w="4110" w:type="dxa"/>
            <w:shd w:val="clear" w:color="auto" w:fill="F6F6F6"/>
          </w:tcPr>
          <w:p w14:paraId="41DAAF5A"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7D85F2E6" w14:textId="77777777" w:rsidR="0049091E" w:rsidRPr="008A4E83" w:rsidRDefault="0049091E" w:rsidP="00796BF7">
            <w:pPr>
              <w:rPr>
                <w:rFonts w:ascii="Arial" w:hAnsi="Arial" w:cs="Arial"/>
                <w:bCs/>
                <w:sz w:val="20"/>
                <w:szCs w:val="20"/>
              </w:rPr>
            </w:pPr>
          </w:p>
        </w:tc>
      </w:tr>
      <w:tr w:rsidR="0049091E" w:rsidRPr="008A4E83" w14:paraId="14797D76" w14:textId="77777777" w:rsidTr="00F5137D">
        <w:tc>
          <w:tcPr>
            <w:tcW w:w="4962" w:type="dxa"/>
          </w:tcPr>
          <w:p w14:paraId="03FBC2DA" w14:textId="77777777" w:rsidR="0049091E" w:rsidRPr="008A4E83" w:rsidRDefault="0049091E" w:rsidP="00796BF7">
            <w:pPr>
              <w:jc w:val="both"/>
              <w:rPr>
                <w:rFonts w:ascii="Arial" w:hAnsi="Arial" w:cs="Arial"/>
              </w:rPr>
            </w:pPr>
            <w:r w:rsidRPr="008A4E83">
              <w:rPr>
                <w:rFonts w:ascii="Arial" w:hAnsi="Arial" w:cs="Arial"/>
                <w:bCs/>
              </w:rPr>
              <w:t xml:space="preserve">(d)  </w:t>
            </w:r>
            <w:r w:rsidRPr="008A4E83">
              <w:rPr>
                <w:rFonts w:ascii="Arial" w:hAnsi="Arial" w:cs="Arial"/>
              </w:rPr>
              <w:t xml:space="preserve">present and forward-looking information, that shall cover at least a </w:t>
            </w:r>
            <w:proofErr w:type="gramStart"/>
            <w:r w:rsidRPr="008A4E83">
              <w:rPr>
                <w:rFonts w:ascii="Arial" w:hAnsi="Arial" w:cs="Arial"/>
              </w:rPr>
              <w:t>three year</w:t>
            </w:r>
            <w:proofErr w:type="gramEnd"/>
            <w:r w:rsidRPr="008A4E83">
              <w:rPr>
                <w:rFonts w:ascii="Arial" w:hAnsi="Arial" w:cs="Arial"/>
              </w:rPr>
              <w:t xml:space="preserve"> period, on the amounts and percentages corresponding to the following requirements for own funds and eligible </w:t>
            </w:r>
            <w:r w:rsidRPr="008A4E83">
              <w:rPr>
                <w:rFonts w:ascii="Arial" w:hAnsi="Arial" w:cs="Arial"/>
              </w:rPr>
              <w:lastRenderedPageBreak/>
              <w:t xml:space="preserve">liabilities, including the level and composition of own funds before and after the performing of the action and the impact on regulatory requirements: </w:t>
            </w:r>
          </w:p>
          <w:p w14:paraId="6C6EDC7D" w14:textId="77777777" w:rsidR="0049091E" w:rsidRPr="008A4E83" w:rsidRDefault="0049091E" w:rsidP="00796BF7">
            <w:pPr>
              <w:jc w:val="both"/>
              <w:rPr>
                <w:rFonts w:ascii="Arial" w:hAnsi="Arial" w:cs="Arial"/>
                <w:bCs/>
                <w:sz w:val="20"/>
                <w:szCs w:val="20"/>
              </w:rPr>
            </w:pPr>
            <w:r w:rsidRPr="008A4E83">
              <w:rPr>
                <w:rFonts w:ascii="Arial" w:hAnsi="Arial" w:cs="Arial"/>
                <w:bCs/>
              </w:rPr>
              <w:t>(Article 30(1)(d)(</w:t>
            </w:r>
            <w:proofErr w:type="spellStart"/>
            <w:r w:rsidRPr="008A4E83">
              <w:rPr>
                <w:rFonts w:ascii="Arial" w:hAnsi="Arial" w:cs="Arial"/>
                <w:bCs/>
              </w:rPr>
              <w:t>i</w:t>
            </w:r>
            <w:proofErr w:type="spellEnd"/>
            <w:r w:rsidRPr="008A4E83">
              <w:rPr>
                <w:rFonts w:ascii="Arial" w:hAnsi="Arial" w:cs="Arial"/>
                <w:bCs/>
              </w:rPr>
              <w:t>) to (viii), Chapter 4, Own Funds (CRR) part)</w:t>
            </w:r>
          </w:p>
        </w:tc>
        <w:tc>
          <w:tcPr>
            <w:tcW w:w="4110" w:type="dxa"/>
            <w:shd w:val="clear" w:color="auto" w:fill="F6F6F6"/>
          </w:tcPr>
          <w:p w14:paraId="740DA98F"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lastRenderedPageBreak/>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4B2EC06B" w14:textId="77777777" w:rsidR="0049091E" w:rsidRPr="008A4E83" w:rsidRDefault="0049091E" w:rsidP="00796BF7">
            <w:pPr>
              <w:rPr>
                <w:rFonts w:ascii="Arial" w:hAnsi="Arial" w:cs="Arial"/>
                <w:bCs/>
                <w:sz w:val="20"/>
                <w:szCs w:val="20"/>
              </w:rPr>
            </w:pPr>
          </w:p>
        </w:tc>
      </w:tr>
      <w:tr w:rsidR="0049091E" w:rsidRPr="008A4E83" w14:paraId="38E1D732" w14:textId="77777777" w:rsidTr="00F5137D">
        <w:tc>
          <w:tcPr>
            <w:tcW w:w="4962" w:type="dxa"/>
          </w:tcPr>
          <w:p w14:paraId="0BD498B4" w14:textId="77777777" w:rsidR="0049091E" w:rsidRPr="008A4E83" w:rsidRDefault="0049091E" w:rsidP="00796BF7">
            <w:pPr>
              <w:jc w:val="both"/>
              <w:rPr>
                <w:rFonts w:ascii="Arial" w:hAnsi="Arial" w:cs="Arial"/>
                <w:bCs/>
                <w:sz w:val="20"/>
                <w:szCs w:val="20"/>
              </w:rPr>
            </w:pPr>
            <w:r w:rsidRPr="008A4E83">
              <w:rPr>
                <w:rFonts w:ascii="Arial" w:hAnsi="Arial" w:cs="Arial"/>
                <w:bCs/>
              </w:rPr>
              <w:t xml:space="preserve">(e) </w:t>
            </w:r>
            <w:r w:rsidRPr="008A4E83">
              <w:rPr>
                <w:rFonts w:ascii="Arial" w:hAnsi="Arial" w:cs="Arial"/>
              </w:rPr>
              <w:t>present and forward-looking information on the level and composition of own funds and the level and composition of own funds and eligible liabilities held to ensure compliance, respectively, with the requirements referred to in point (d)(</w:t>
            </w:r>
            <w:proofErr w:type="spellStart"/>
            <w:r w:rsidRPr="008A4E83">
              <w:rPr>
                <w:rFonts w:ascii="Arial" w:hAnsi="Arial" w:cs="Arial"/>
              </w:rPr>
              <w:t>i</w:t>
            </w:r>
            <w:proofErr w:type="spellEnd"/>
            <w:r w:rsidRPr="008A4E83">
              <w:rPr>
                <w:rFonts w:ascii="Arial" w:hAnsi="Arial" w:cs="Arial"/>
              </w:rPr>
              <w:t xml:space="preserve">) to (viii) above before and after performing any of the actions listed in Article 77(1) of the CRR. The information shall cover at least a </w:t>
            </w:r>
            <w:proofErr w:type="gramStart"/>
            <w:r w:rsidRPr="008A4E83">
              <w:rPr>
                <w:rFonts w:ascii="Arial" w:hAnsi="Arial" w:cs="Arial"/>
              </w:rPr>
              <w:t>three year</w:t>
            </w:r>
            <w:proofErr w:type="gramEnd"/>
            <w:r w:rsidRPr="008A4E83">
              <w:rPr>
                <w:rFonts w:ascii="Arial" w:hAnsi="Arial" w:cs="Arial"/>
              </w:rPr>
              <w:t xml:space="preserve"> period;</w:t>
            </w:r>
          </w:p>
        </w:tc>
        <w:tc>
          <w:tcPr>
            <w:tcW w:w="4110" w:type="dxa"/>
            <w:shd w:val="clear" w:color="auto" w:fill="F6F6F6"/>
          </w:tcPr>
          <w:p w14:paraId="75F2EA8F"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031D607F" w14:textId="77777777" w:rsidR="0049091E" w:rsidRPr="008A4E83" w:rsidRDefault="0049091E" w:rsidP="00796BF7">
            <w:pPr>
              <w:rPr>
                <w:rFonts w:ascii="Arial" w:hAnsi="Arial" w:cs="Arial"/>
                <w:bCs/>
                <w:sz w:val="20"/>
                <w:szCs w:val="20"/>
              </w:rPr>
            </w:pPr>
          </w:p>
        </w:tc>
      </w:tr>
      <w:tr w:rsidR="0049091E" w:rsidRPr="008A4E83" w14:paraId="6E947E77" w14:textId="77777777" w:rsidTr="00F5137D">
        <w:tc>
          <w:tcPr>
            <w:tcW w:w="4962" w:type="dxa"/>
          </w:tcPr>
          <w:p w14:paraId="6C60B316" w14:textId="77777777" w:rsidR="0049091E" w:rsidRPr="008A4E83" w:rsidRDefault="0049091E" w:rsidP="00796BF7">
            <w:pPr>
              <w:jc w:val="both"/>
              <w:rPr>
                <w:rFonts w:ascii="Arial" w:hAnsi="Arial" w:cs="Arial"/>
                <w:bCs/>
                <w:sz w:val="20"/>
                <w:szCs w:val="20"/>
                <w:highlight w:val="yellow"/>
              </w:rPr>
            </w:pPr>
            <w:r w:rsidRPr="008A4E83">
              <w:rPr>
                <w:rFonts w:ascii="Arial" w:hAnsi="Arial" w:cs="Arial"/>
              </w:rPr>
              <w:t xml:space="preserve">(f) the institution’s summary assessment on the impact of the action that the institution has planned to take in accordance with Article 77(1) of the CRR, and any such action that the institution additionally envisages to undertake within a </w:t>
            </w:r>
            <w:proofErr w:type="gramStart"/>
            <w:r w:rsidRPr="008A4E83">
              <w:rPr>
                <w:rFonts w:ascii="Arial" w:hAnsi="Arial" w:cs="Arial"/>
              </w:rPr>
              <w:t>three year</w:t>
            </w:r>
            <w:proofErr w:type="gramEnd"/>
            <w:r w:rsidRPr="008A4E83">
              <w:rPr>
                <w:rFonts w:ascii="Arial" w:hAnsi="Arial" w:cs="Arial"/>
              </w:rPr>
              <w:t xml:space="preserve"> period, on compliance with the requirements referred to in point (d)(</w:t>
            </w:r>
            <w:proofErr w:type="spellStart"/>
            <w:r w:rsidRPr="008A4E83">
              <w:rPr>
                <w:rFonts w:ascii="Arial" w:hAnsi="Arial" w:cs="Arial"/>
              </w:rPr>
              <w:t>i</w:t>
            </w:r>
            <w:proofErr w:type="spellEnd"/>
            <w:r w:rsidRPr="008A4E83">
              <w:rPr>
                <w:rFonts w:ascii="Arial" w:hAnsi="Arial" w:cs="Arial"/>
              </w:rPr>
              <w:t>) to (viii) above;</w:t>
            </w:r>
          </w:p>
        </w:tc>
        <w:tc>
          <w:tcPr>
            <w:tcW w:w="4110" w:type="dxa"/>
            <w:shd w:val="clear" w:color="auto" w:fill="F6F6F6"/>
          </w:tcPr>
          <w:p w14:paraId="54C354C4"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6497D41E" w14:textId="77777777" w:rsidR="0049091E" w:rsidRPr="008A4E83" w:rsidRDefault="0049091E" w:rsidP="00796BF7">
            <w:pPr>
              <w:rPr>
                <w:rFonts w:ascii="Arial" w:hAnsi="Arial" w:cs="Arial"/>
                <w:bCs/>
                <w:i/>
                <w:color w:val="1F497D"/>
                <w:sz w:val="20"/>
                <w:szCs w:val="20"/>
              </w:rPr>
            </w:pPr>
          </w:p>
        </w:tc>
      </w:tr>
      <w:tr w:rsidR="0049091E" w:rsidRPr="008A4E83" w14:paraId="19E3D09A" w14:textId="77777777" w:rsidTr="00F5137D">
        <w:tc>
          <w:tcPr>
            <w:tcW w:w="4962" w:type="dxa"/>
          </w:tcPr>
          <w:p w14:paraId="46757FD6" w14:textId="77777777" w:rsidR="0049091E" w:rsidRPr="008A4E83" w:rsidRDefault="0049091E" w:rsidP="00796BF7">
            <w:pPr>
              <w:jc w:val="both"/>
              <w:rPr>
                <w:rFonts w:ascii="Arial" w:hAnsi="Arial" w:cs="Arial"/>
              </w:rPr>
            </w:pPr>
            <w:r w:rsidRPr="008A4E83">
              <w:rPr>
                <w:rFonts w:ascii="Arial" w:hAnsi="Arial" w:cs="Arial"/>
              </w:rPr>
              <w:t xml:space="preserve">(g) where the institution seeks to replace own funds instruments or the related share premium accounts pursuant to Article 77(1) of the CRR: </w:t>
            </w:r>
          </w:p>
          <w:p w14:paraId="24B60345" w14:textId="77777777" w:rsidR="0049091E" w:rsidRPr="008A4E83" w:rsidRDefault="0049091E" w:rsidP="00796BF7">
            <w:pPr>
              <w:jc w:val="both"/>
              <w:rPr>
                <w:rFonts w:ascii="Arial" w:hAnsi="Arial" w:cs="Arial"/>
                <w:bCs/>
                <w:sz w:val="20"/>
                <w:szCs w:val="20"/>
                <w:highlight w:val="yellow"/>
              </w:rPr>
            </w:pPr>
            <w:r w:rsidRPr="008A4E83">
              <w:rPr>
                <w:rFonts w:ascii="Arial" w:hAnsi="Arial" w:cs="Arial"/>
                <w:bCs/>
              </w:rPr>
              <w:t>(Article 30(1)(g)(</w:t>
            </w:r>
            <w:proofErr w:type="spellStart"/>
            <w:r w:rsidRPr="008A4E83">
              <w:rPr>
                <w:rFonts w:ascii="Arial" w:hAnsi="Arial" w:cs="Arial"/>
                <w:bCs/>
              </w:rPr>
              <w:t>i</w:t>
            </w:r>
            <w:proofErr w:type="spellEnd"/>
            <w:r w:rsidRPr="008A4E83">
              <w:rPr>
                <w:rFonts w:ascii="Arial" w:hAnsi="Arial" w:cs="Arial"/>
                <w:bCs/>
              </w:rPr>
              <w:t>) to (v), Chapter 4, Own Funds (CRR) part)</w:t>
            </w:r>
          </w:p>
        </w:tc>
        <w:tc>
          <w:tcPr>
            <w:tcW w:w="4110" w:type="dxa"/>
            <w:shd w:val="clear" w:color="auto" w:fill="F6F6F6"/>
          </w:tcPr>
          <w:p w14:paraId="75A82F53"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502C8B5F" w14:textId="77777777" w:rsidR="0049091E" w:rsidRPr="008A4E83" w:rsidRDefault="0049091E" w:rsidP="00796BF7">
            <w:pPr>
              <w:rPr>
                <w:rFonts w:ascii="Arial" w:hAnsi="Arial" w:cs="Arial"/>
                <w:bCs/>
                <w:i/>
                <w:color w:val="1F497D"/>
                <w:sz w:val="20"/>
                <w:szCs w:val="20"/>
              </w:rPr>
            </w:pPr>
          </w:p>
        </w:tc>
      </w:tr>
      <w:tr w:rsidR="0049091E" w:rsidRPr="008A4E83" w14:paraId="3FF71B5E" w14:textId="77777777" w:rsidTr="00F5137D">
        <w:tc>
          <w:tcPr>
            <w:tcW w:w="4962" w:type="dxa"/>
          </w:tcPr>
          <w:p w14:paraId="051AE05F" w14:textId="77777777" w:rsidR="0049091E" w:rsidRPr="008A4E83" w:rsidRDefault="0049091E" w:rsidP="00796BF7">
            <w:pPr>
              <w:jc w:val="both"/>
              <w:rPr>
                <w:rFonts w:ascii="Arial" w:hAnsi="Arial" w:cs="Arial"/>
                <w:bCs/>
                <w:sz w:val="20"/>
                <w:szCs w:val="20"/>
                <w:highlight w:val="yellow"/>
              </w:rPr>
            </w:pPr>
            <w:r w:rsidRPr="008A4E83">
              <w:rPr>
                <w:rFonts w:ascii="Arial" w:hAnsi="Arial" w:cs="Arial"/>
              </w:rPr>
              <w:t xml:space="preserve">(h) an evaluation of the risks to which the institution is or might be exposed and whether the level of own funds and eligible liabilities ensures an appropriate coverage of such risks, including outcomes of stress tests on main risks evidencing potential losses; </w:t>
            </w:r>
          </w:p>
        </w:tc>
        <w:tc>
          <w:tcPr>
            <w:tcW w:w="4110" w:type="dxa"/>
            <w:shd w:val="clear" w:color="auto" w:fill="F6F6F6"/>
          </w:tcPr>
          <w:p w14:paraId="731E3DDA"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6A37CDE0" w14:textId="77777777" w:rsidR="0049091E" w:rsidRPr="008A4E83" w:rsidRDefault="0049091E" w:rsidP="00796BF7">
            <w:pPr>
              <w:rPr>
                <w:rFonts w:ascii="Arial" w:hAnsi="Arial" w:cs="Arial"/>
                <w:bCs/>
                <w:i/>
                <w:color w:val="1F497D"/>
                <w:sz w:val="20"/>
                <w:szCs w:val="20"/>
              </w:rPr>
            </w:pPr>
          </w:p>
        </w:tc>
      </w:tr>
      <w:tr w:rsidR="0049091E" w:rsidRPr="008A4E83" w14:paraId="09AC5E7D" w14:textId="77777777" w:rsidTr="00F5137D">
        <w:tc>
          <w:tcPr>
            <w:tcW w:w="4962" w:type="dxa"/>
          </w:tcPr>
          <w:p w14:paraId="6FA5A278" w14:textId="77777777" w:rsidR="0049091E" w:rsidRPr="008A4E83" w:rsidRDefault="0049091E" w:rsidP="00796BF7">
            <w:pPr>
              <w:jc w:val="both"/>
              <w:rPr>
                <w:rFonts w:ascii="Arial" w:hAnsi="Arial" w:cs="Arial"/>
                <w:bCs/>
                <w:sz w:val="20"/>
                <w:szCs w:val="20"/>
                <w:highlight w:val="yellow"/>
              </w:rPr>
            </w:pPr>
            <w:r w:rsidRPr="008A4E83">
              <w:rPr>
                <w:rFonts w:ascii="Arial" w:hAnsi="Arial" w:cs="Arial"/>
              </w:rPr>
              <w:lastRenderedPageBreak/>
              <w:t>(</w:t>
            </w:r>
            <w:proofErr w:type="spellStart"/>
            <w:r w:rsidRPr="008A4E83">
              <w:rPr>
                <w:rFonts w:ascii="Arial" w:hAnsi="Arial" w:cs="Arial"/>
              </w:rPr>
              <w:t>i</w:t>
            </w:r>
            <w:proofErr w:type="spellEnd"/>
            <w:r w:rsidRPr="008A4E83">
              <w:rPr>
                <w:rFonts w:ascii="Arial" w:hAnsi="Arial" w:cs="Arial"/>
              </w:rPr>
              <w:t>) coverage in terms of own funds of the level and composition of any additional own funds that the institution is expected to hold by the PRA, in excess of the requirements set out in point (d)(</w:t>
            </w:r>
            <w:proofErr w:type="spellStart"/>
            <w:r w:rsidRPr="008A4E83">
              <w:rPr>
                <w:rFonts w:ascii="Arial" w:hAnsi="Arial" w:cs="Arial"/>
              </w:rPr>
              <w:t>i</w:t>
            </w:r>
            <w:proofErr w:type="spellEnd"/>
            <w:r w:rsidRPr="008A4E83">
              <w:rPr>
                <w:rFonts w:ascii="Arial" w:hAnsi="Arial" w:cs="Arial"/>
              </w:rPr>
              <w:t xml:space="preserve">) to (viii) above, before and after performing any of the actions listed in Article 77(1) of the CRR, covering a three year period; </w:t>
            </w:r>
          </w:p>
        </w:tc>
        <w:tc>
          <w:tcPr>
            <w:tcW w:w="4110" w:type="dxa"/>
            <w:shd w:val="clear" w:color="auto" w:fill="F6F6F6"/>
          </w:tcPr>
          <w:p w14:paraId="4056D01A"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5D7A4EAF" w14:textId="77777777" w:rsidR="0049091E" w:rsidRPr="008A4E83" w:rsidRDefault="0049091E" w:rsidP="00796BF7">
            <w:pPr>
              <w:rPr>
                <w:rFonts w:ascii="Arial" w:hAnsi="Arial" w:cs="Arial"/>
                <w:bCs/>
                <w:i/>
                <w:color w:val="1F497D"/>
                <w:sz w:val="20"/>
                <w:szCs w:val="20"/>
              </w:rPr>
            </w:pPr>
          </w:p>
        </w:tc>
      </w:tr>
      <w:tr w:rsidR="0049091E" w:rsidRPr="008A4E83" w14:paraId="6A3289B8" w14:textId="77777777" w:rsidTr="00F5137D">
        <w:tc>
          <w:tcPr>
            <w:tcW w:w="4962" w:type="dxa"/>
          </w:tcPr>
          <w:p w14:paraId="29A96311" w14:textId="77777777" w:rsidR="0049091E" w:rsidRPr="008A4E83" w:rsidRDefault="0049091E" w:rsidP="00796BF7">
            <w:pPr>
              <w:jc w:val="both"/>
              <w:rPr>
                <w:rFonts w:ascii="Arial" w:hAnsi="Arial" w:cs="Arial"/>
                <w:bCs/>
                <w:sz w:val="20"/>
                <w:szCs w:val="20"/>
                <w:highlight w:val="yellow"/>
              </w:rPr>
            </w:pPr>
            <w:r w:rsidRPr="008A4E83">
              <w:rPr>
                <w:rFonts w:ascii="Arial" w:hAnsi="Arial" w:cs="Arial"/>
              </w:rPr>
              <w:t xml:space="preserve">(j) any other information considered necessary by the PRA for evaluating the appropriateness of granting a permission in accordance with the </w:t>
            </w:r>
            <w:proofErr w:type="spellStart"/>
            <w:r w:rsidRPr="008A4E83">
              <w:rPr>
                <w:rFonts w:ascii="Arial" w:hAnsi="Arial" w:cs="Arial"/>
              </w:rPr>
              <w:t>SoP</w:t>
            </w:r>
            <w:proofErr w:type="spellEnd"/>
            <w:r w:rsidRPr="008A4E83">
              <w:rPr>
                <w:rFonts w:ascii="Arial" w:hAnsi="Arial" w:cs="Arial"/>
              </w:rPr>
              <w:t>.</w:t>
            </w:r>
          </w:p>
        </w:tc>
        <w:tc>
          <w:tcPr>
            <w:tcW w:w="4110" w:type="dxa"/>
            <w:shd w:val="clear" w:color="auto" w:fill="F6F6F6"/>
          </w:tcPr>
          <w:p w14:paraId="0F560AF5" w14:textId="13C0D4E3" w:rsidR="0049091E" w:rsidRPr="00D34723"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tc>
      </w:tr>
    </w:tbl>
    <w:tbl>
      <w:tblPr>
        <w:tblStyle w:val="TableGrid"/>
        <w:tblW w:w="9072" w:type="dxa"/>
        <w:tblInd w:w="108" w:type="dxa"/>
        <w:tblLook w:val="04A0" w:firstRow="1" w:lastRow="0" w:firstColumn="1" w:lastColumn="0" w:noHBand="0" w:noVBand="1"/>
      </w:tblPr>
      <w:tblGrid>
        <w:gridCol w:w="4962"/>
        <w:gridCol w:w="4110"/>
      </w:tblGrid>
      <w:tr w:rsidR="0049091E" w:rsidRPr="008A4E83" w14:paraId="296A3ECC" w14:textId="77777777" w:rsidTr="00F5137D">
        <w:tc>
          <w:tcPr>
            <w:tcW w:w="4962" w:type="dxa"/>
            <w:shd w:val="clear" w:color="auto" w:fill="A7EDEE"/>
            <w:vAlign w:val="center"/>
          </w:tcPr>
          <w:p w14:paraId="55CD52BA" w14:textId="77777777" w:rsidR="0049091E" w:rsidRPr="008A4E83" w:rsidRDefault="0049091E" w:rsidP="00796BF7">
            <w:pPr>
              <w:spacing w:before="120" w:after="120"/>
              <w:rPr>
                <w:rFonts w:ascii="Arial" w:hAnsi="Arial" w:cs="Arial"/>
                <w:b/>
                <w:bCs/>
                <w:sz w:val="24"/>
                <w:szCs w:val="24"/>
              </w:rPr>
            </w:pPr>
            <w:r w:rsidRPr="008A4E83">
              <w:rPr>
                <w:rFonts w:ascii="Arial" w:hAnsi="Arial" w:cs="Arial"/>
                <w:b/>
                <w:bCs/>
                <w:sz w:val="24"/>
                <w:szCs w:val="24"/>
              </w:rPr>
              <w:t>Article 31 PRA rules requirement:</w:t>
            </w:r>
          </w:p>
        </w:tc>
        <w:tc>
          <w:tcPr>
            <w:tcW w:w="4110" w:type="dxa"/>
            <w:shd w:val="clear" w:color="auto" w:fill="A7EDEE"/>
            <w:vAlign w:val="center"/>
          </w:tcPr>
          <w:p w14:paraId="40EB9970" w14:textId="77777777" w:rsidR="0049091E" w:rsidRPr="008A4E83" w:rsidRDefault="0049091E" w:rsidP="00796BF7">
            <w:pPr>
              <w:rPr>
                <w:rFonts w:ascii="Arial" w:hAnsi="Arial" w:cs="Arial"/>
                <w:b/>
                <w:bCs/>
                <w:sz w:val="24"/>
                <w:szCs w:val="24"/>
              </w:rPr>
            </w:pPr>
            <w:r w:rsidRPr="008A4E83">
              <w:rPr>
                <w:rFonts w:ascii="Arial" w:hAnsi="Arial" w:cs="Arial"/>
                <w:b/>
                <w:bCs/>
                <w:sz w:val="24"/>
                <w:szCs w:val="24"/>
              </w:rPr>
              <w:t>Applicant firm attestation</w:t>
            </w: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110"/>
      </w:tblGrid>
      <w:tr w:rsidR="0049091E" w:rsidRPr="008A4E83" w14:paraId="5D3FA7B5" w14:textId="77777777" w:rsidTr="0049091E">
        <w:tc>
          <w:tcPr>
            <w:tcW w:w="4962" w:type="dxa"/>
          </w:tcPr>
          <w:p w14:paraId="6BF7DB2B" w14:textId="77777777" w:rsidR="0049091E" w:rsidRPr="008A4E83" w:rsidRDefault="0049091E" w:rsidP="00796BF7">
            <w:pPr>
              <w:jc w:val="both"/>
              <w:rPr>
                <w:rFonts w:ascii="Arial" w:hAnsi="Arial" w:cs="Arial"/>
                <w:bCs/>
                <w:sz w:val="20"/>
                <w:szCs w:val="20"/>
                <w:highlight w:val="yellow"/>
              </w:rPr>
            </w:pPr>
            <w:r w:rsidRPr="008A4E83">
              <w:rPr>
                <w:rFonts w:ascii="Arial" w:hAnsi="Arial" w:cs="Arial"/>
                <w:bCs/>
              </w:rPr>
              <w:t>Is this application being made at least three months in advance of the reduction in own funds being announced to holders of the instrument(s)? If not, please explain why.</w:t>
            </w:r>
          </w:p>
        </w:tc>
        <w:tc>
          <w:tcPr>
            <w:tcW w:w="4110" w:type="dxa"/>
            <w:shd w:val="clear" w:color="auto" w:fill="F6F6F6"/>
          </w:tcPr>
          <w:p w14:paraId="1E9FF044"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78D12D0D" w14:textId="77777777" w:rsidR="0049091E" w:rsidRPr="008A4E83" w:rsidRDefault="0049091E" w:rsidP="00796BF7">
            <w:pPr>
              <w:ind w:firstLine="720"/>
              <w:rPr>
                <w:rFonts w:ascii="Arial" w:hAnsi="Arial" w:cs="Arial"/>
                <w:bCs/>
                <w:sz w:val="20"/>
                <w:szCs w:val="20"/>
              </w:rPr>
            </w:pPr>
          </w:p>
        </w:tc>
      </w:tr>
    </w:tbl>
    <w:p w14:paraId="0586AED8" w14:textId="77777777" w:rsidR="0049091E" w:rsidRDefault="0049091E" w:rsidP="0049091E">
      <w:pPr>
        <w:rPr>
          <w:rFonts w:ascii="Arial" w:hAnsi="Arial" w:cs="Arial"/>
        </w:rPr>
      </w:pPr>
    </w:p>
    <w:p w14:paraId="425149AC" w14:textId="77777777" w:rsidR="0049091E" w:rsidRPr="008A4E83" w:rsidRDefault="0049091E" w:rsidP="0049091E">
      <w:pPr>
        <w:rPr>
          <w:rFonts w:ascii="Arial" w:hAnsi="Arial" w:cs="Arial"/>
        </w:rPr>
      </w:pPr>
    </w:p>
    <w:p w14:paraId="1AEE5390" w14:textId="77777777" w:rsidR="0049091E" w:rsidRPr="008A4E83" w:rsidRDefault="0049091E" w:rsidP="0049091E">
      <w:pPr>
        <w:jc w:val="both"/>
        <w:rPr>
          <w:rFonts w:ascii="Arial" w:hAnsi="Arial" w:cs="Arial"/>
          <w:b/>
          <w:bCs/>
          <w:color w:val="000000" w:themeColor="text1"/>
          <w:sz w:val="28"/>
          <w:szCs w:val="28"/>
        </w:rPr>
      </w:pPr>
      <w:r w:rsidRPr="008A4E83">
        <w:rPr>
          <w:rFonts w:ascii="Arial" w:hAnsi="Arial" w:cs="Arial"/>
          <w:b/>
          <w:bCs/>
          <w:color w:val="000000" w:themeColor="text1"/>
          <w:sz w:val="28"/>
          <w:szCs w:val="28"/>
        </w:rPr>
        <w:t>Applications for a new General Prior Permission (if relevant)</w:t>
      </w:r>
    </w:p>
    <w:tbl>
      <w:tblPr>
        <w:tblStyle w:val="TableGrid"/>
        <w:tblW w:w="9072" w:type="dxa"/>
        <w:tblInd w:w="108" w:type="dxa"/>
        <w:tblLook w:val="04A0" w:firstRow="1" w:lastRow="0" w:firstColumn="1" w:lastColumn="0" w:noHBand="0" w:noVBand="1"/>
      </w:tblPr>
      <w:tblGrid>
        <w:gridCol w:w="4962"/>
        <w:gridCol w:w="4110"/>
      </w:tblGrid>
      <w:tr w:rsidR="0049091E" w:rsidRPr="008A4E83" w14:paraId="0D756938" w14:textId="77777777" w:rsidTr="00F5137D">
        <w:tc>
          <w:tcPr>
            <w:tcW w:w="4962" w:type="dxa"/>
            <w:shd w:val="clear" w:color="auto" w:fill="A7EDEE"/>
            <w:vAlign w:val="center"/>
          </w:tcPr>
          <w:p w14:paraId="44086C8A" w14:textId="7BBAC4AE" w:rsidR="0049091E" w:rsidRPr="008A4E83" w:rsidRDefault="0049091E" w:rsidP="00897E15">
            <w:pPr>
              <w:spacing w:before="120"/>
              <w:rPr>
                <w:rFonts w:ascii="Arial" w:hAnsi="Arial" w:cs="Arial"/>
                <w:b/>
                <w:bCs/>
                <w:sz w:val="24"/>
                <w:szCs w:val="24"/>
              </w:rPr>
            </w:pPr>
            <w:r w:rsidRPr="008A4E83">
              <w:rPr>
                <w:rFonts w:ascii="Arial" w:hAnsi="Arial" w:cs="Arial"/>
                <w:b/>
                <w:bCs/>
                <w:sz w:val="24"/>
                <w:szCs w:val="24"/>
              </w:rPr>
              <w:t xml:space="preserve">Where a General Prior Permission: </w:t>
            </w:r>
          </w:p>
          <w:p w14:paraId="1238D0F0" w14:textId="77777777" w:rsidR="0049091E" w:rsidRPr="008A4E83" w:rsidRDefault="0049091E" w:rsidP="00897E15">
            <w:pPr>
              <w:rPr>
                <w:rFonts w:ascii="Arial" w:hAnsi="Arial" w:cs="Arial"/>
                <w:b/>
                <w:bCs/>
                <w:sz w:val="24"/>
                <w:szCs w:val="24"/>
              </w:rPr>
            </w:pPr>
            <w:r w:rsidRPr="008A4E83">
              <w:rPr>
                <w:rFonts w:ascii="Arial" w:hAnsi="Arial" w:cs="Arial"/>
                <w:b/>
                <w:bCs/>
                <w:sz w:val="24"/>
                <w:szCs w:val="24"/>
              </w:rPr>
              <w:t>Article 30a Additional information to be submitted with an application for a General Prior Permission for action listed in Article 77(1) of the CRR:</w:t>
            </w:r>
          </w:p>
          <w:p w14:paraId="28B442C2" w14:textId="77777777" w:rsidR="0049091E" w:rsidRPr="008A4E83" w:rsidRDefault="0049091E" w:rsidP="00F5137D">
            <w:pPr>
              <w:autoSpaceDE w:val="0"/>
              <w:autoSpaceDN w:val="0"/>
              <w:adjustRightInd w:val="0"/>
              <w:rPr>
                <w:rFonts w:ascii="Arial" w:hAnsi="Arial" w:cs="Arial"/>
                <w:b/>
                <w:bCs/>
                <w:sz w:val="24"/>
                <w:szCs w:val="24"/>
              </w:rPr>
            </w:pPr>
          </w:p>
        </w:tc>
        <w:tc>
          <w:tcPr>
            <w:tcW w:w="4110" w:type="dxa"/>
            <w:shd w:val="clear" w:color="auto" w:fill="A7EDEE"/>
            <w:vAlign w:val="center"/>
          </w:tcPr>
          <w:p w14:paraId="2671CF77" w14:textId="165E5BF5" w:rsidR="0049091E" w:rsidRPr="008A4E83" w:rsidRDefault="0049091E" w:rsidP="00897E15">
            <w:pPr>
              <w:spacing w:before="120"/>
              <w:rPr>
                <w:rFonts w:ascii="Arial" w:hAnsi="Arial" w:cs="Arial"/>
                <w:b/>
                <w:bCs/>
                <w:sz w:val="24"/>
                <w:szCs w:val="24"/>
              </w:rPr>
            </w:pPr>
            <w:r w:rsidRPr="008A4E83">
              <w:rPr>
                <w:rFonts w:ascii="Arial" w:hAnsi="Arial" w:cs="Arial"/>
                <w:b/>
                <w:bCs/>
                <w:sz w:val="24"/>
                <w:szCs w:val="24"/>
              </w:rPr>
              <w:t>Applicant firm attestation</w:t>
            </w: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110"/>
      </w:tblGrid>
      <w:tr w:rsidR="0049091E" w:rsidRPr="008A4E83" w:rsidDel="006F31A1" w14:paraId="67176ED5" w14:textId="77777777" w:rsidTr="0049091E">
        <w:tc>
          <w:tcPr>
            <w:tcW w:w="4962" w:type="dxa"/>
          </w:tcPr>
          <w:p w14:paraId="25D706D2" w14:textId="77777777" w:rsidR="0049091E" w:rsidRPr="008A4E83" w:rsidDel="006F31A1" w:rsidRDefault="0049091E" w:rsidP="00796BF7">
            <w:pPr>
              <w:jc w:val="both"/>
              <w:rPr>
                <w:rFonts w:ascii="Arial" w:hAnsi="Arial" w:cs="Arial"/>
                <w:bCs/>
                <w:sz w:val="20"/>
                <w:szCs w:val="20"/>
                <w:highlight w:val="yellow"/>
              </w:rPr>
            </w:pPr>
            <w:r w:rsidRPr="008A4E83">
              <w:rPr>
                <w:rFonts w:ascii="Arial" w:hAnsi="Arial" w:cs="Arial"/>
              </w:rPr>
              <w:t xml:space="preserve">1. Where a general prior permission pursuant to paragraph 2, Appendix 5 of the </w:t>
            </w:r>
            <w:proofErr w:type="spellStart"/>
            <w:r w:rsidRPr="008A4E83">
              <w:rPr>
                <w:rFonts w:ascii="Arial" w:hAnsi="Arial" w:cs="Arial"/>
              </w:rPr>
              <w:t>SoP</w:t>
            </w:r>
            <w:proofErr w:type="spellEnd"/>
            <w:r w:rsidRPr="008A4E83">
              <w:rPr>
                <w:rFonts w:ascii="Arial" w:hAnsi="Arial" w:cs="Arial"/>
              </w:rPr>
              <w:t xml:space="preserve"> for a reduction of CET1 instruments is sought, the application shall specify the amount of each relevant Common Equity Tier 1 issue subject to the request. </w:t>
            </w:r>
          </w:p>
        </w:tc>
        <w:tc>
          <w:tcPr>
            <w:tcW w:w="4110" w:type="dxa"/>
            <w:shd w:val="clear" w:color="auto" w:fill="F6F6F6"/>
          </w:tcPr>
          <w:p w14:paraId="452D7557"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7BFB5648" w14:textId="77777777" w:rsidR="0049091E" w:rsidRPr="008A4E83" w:rsidDel="006F31A1" w:rsidRDefault="0049091E" w:rsidP="00796BF7">
            <w:pPr>
              <w:rPr>
                <w:rFonts w:ascii="Arial" w:hAnsi="Arial" w:cs="Arial"/>
                <w:bCs/>
                <w:i/>
                <w:color w:val="1F497D"/>
                <w:sz w:val="20"/>
                <w:szCs w:val="20"/>
              </w:rPr>
            </w:pPr>
          </w:p>
        </w:tc>
      </w:tr>
      <w:tr w:rsidR="0049091E" w:rsidRPr="008A4E83" w:rsidDel="006F31A1" w14:paraId="554792DE" w14:textId="77777777" w:rsidTr="0049091E">
        <w:tc>
          <w:tcPr>
            <w:tcW w:w="4962" w:type="dxa"/>
          </w:tcPr>
          <w:p w14:paraId="08706720" w14:textId="77777777" w:rsidR="0049091E" w:rsidRPr="008A4E83" w:rsidDel="006F31A1" w:rsidRDefault="0049091E" w:rsidP="00796BF7">
            <w:pPr>
              <w:jc w:val="both"/>
              <w:rPr>
                <w:rFonts w:ascii="Arial" w:hAnsi="Arial" w:cs="Arial"/>
                <w:bCs/>
                <w:sz w:val="20"/>
                <w:szCs w:val="20"/>
                <w:highlight w:val="yellow"/>
              </w:rPr>
            </w:pPr>
            <w:r w:rsidRPr="008A4E83">
              <w:rPr>
                <w:rFonts w:ascii="Arial" w:hAnsi="Arial" w:cs="Arial"/>
              </w:rPr>
              <w:t xml:space="preserve">2. Where a general prior permission for a reduction of AT1 or Tier 2 instruments is sought, the institution shall specify in the application: (a) </w:t>
            </w:r>
            <w:r w:rsidRPr="008A4E83">
              <w:rPr>
                <w:rFonts w:ascii="Arial" w:hAnsi="Arial" w:cs="Arial"/>
              </w:rPr>
              <w:lastRenderedPageBreak/>
              <w:t xml:space="preserve">the amount of each relevant outstanding issue subject to the request; and (b) the total carrying </w:t>
            </w:r>
            <w:proofErr w:type="gramStart"/>
            <w:r w:rsidRPr="008A4E83">
              <w:rPr>
                <w:rFonts w:ascii="Arial" w:hAnsi="Arial" w:cs="Arial"/>
              </w:rPr>
              <w:t>amount</w:t>
            </w:r>
            <w:proofErr w:type="gramEnd"/>
            <w:r w:rsidRPr="008A4E83">
              <w:rPr>
                <w:rFonts w:ascii="Arial" w:hAnsi="Arial" w:cs="Arial"/>
              </w:rPr>
              <w:t xml:space="preserve"> of outstanding instruments in each relevant tier of capital. </w:t>
            </w:r>
          </w:p>
        </w:tc>
        <w:tc>
          <w:tcPr>
            <w:tcW w:w="4110" w:type="dxa"/>
            <w:shd w:val="clear" w:color="auto" w:fill="F6F6F6"/>
          </w:tcPr>
          <w:p w14:paraId="5B30EB73"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lastRenderedPageBreak/>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7EC576C9" w14:textId="77777777" w:rsidR="0049091E" w:rsidRPr="008A4E83" w:rsidDel="006F31A1" w:rsidRDefault="0049091E" w:rsidP="00796BF7">
            <w:pPr>
              <w:rPr>
                <w:rFonts w:ascii="Arial" w:hAnsi="Arial" w:cs="Arial"/>
                <w:bCs/>
                <w:i/>
                <w:color w:val="1F497D"/>
                <w:sz w:val="20"/>
                <w:szCs w:val="20"/>
              </w:rPr>
            </w:pPr>
          </w:p>
        </w:tc>
      </w:tr>
      <w:tr w:rsidR="0049091E" w:rsidRPr="008A4E83" w:rsidDel="006F31A1" w14:paraId="3BA4D8F9" w14:textId="77777777" w:rsidTr="0049091E">
        <w:tc>
          <w:tcPr>
            <w:tcW w:w="4962" w:type="dxa"/>
          </w:tcPr>
          <w:p w14:paraId="3BD1C1D5" w14:textId="77777777" w:rsidR="0049091E" w:rsidRPr="008A4E83" w:rsidDel="006F31A1" w:rsidRDefault="0049091E" w:rsidP="00796BF7">
            <w:pPr>
              <w:jc w:val="both"/>
              <w:rPr>
                <w:rFonts w:ascii="Arial" w:hAnsi="Arial" w:cs="Arial"/>
                <w:bCs/>
                <w:sz w:val="20"/>
                <w:szCs w:val="20"/>
                <w:highlight w:val="yellow"/>
              </w:rPr>
            </w:pPr>
            <w:r w:rsidRPr="008A4E83">
              <w:rPr>
                <w:rFonts w:ascii="Arial" w:hAnsi="Arial" w:cs="Arial"/>
              </w:rPr>
              <w:t>3. An application for a general prior permission for an action under point (a) and (c) of Article 77(1) of the CRR for market making purposes may include own funds instruments still to be issued, subject to specification of the information referred to in points (a) and (b) of paragraph 2, as applicable, to be provided to the PRA following the relevant issuance.</w:t>
            </w:r>
          </w:p>
        </w:tc>
        <w:tc>
          <w:tcPr>
            <w:tcW w:w="4110" w:type="dxa"/>
            <w:shd w:val="clear" w:color="auto" w:fill="F6F6F6"/>
          </w:tcPr>
          <w:p w14:paraId="7905E882" w14:textId="77777777" w:rsidR="0049091E" w:rsidRPr="004120EA" w:rsidRDefault="0049091E" w:rsidP="00796BF7">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72B5C526" w14:textId="77777777" w:rsidR="0049091E" w:rsidRPr="008A4E83" w:rsidDel="006F31A1" w:rsidRDefault="0049091E" w:rsidP="00796BF7">
            <w:pPr>
              <w:rPr>
                <w:rFonts w:ascii="Arial" w:hAnsi="Arial" w:cs="Arial"/>
                <w:bCs/>
                <w:i/>
                <w:color w:val="1F497D"/>
                <w:sz w:val="20"/>
                <w:szCs w:val="20"/>
              </w:rPr>
            </w:pPr>
          </w:p>
        </w:tc>
      </w:tr>
    </w:tbl>
    <w:p w14:paraId="753E778A" w14:textId="77777777" w:rsidR="0049091E" w:rsidRDefault="0049091E" w:rsidP="0049091E">
      <w:pPr>
        <w:rPr>
          <w:rFonts w:ascii="Arial" w:eastAsia="Yu Mincho" w:hAnsi="Arial" w:cs="Arial"/>
          <w:b/>
          <w:bCs/>
          <w:iCs/>
          <w:color w:val="000000"/>
        </w:rPr>
      </w:pPr>
    </w:p>
    <w:p w14:paraId="787CE510" w14:textId="77777777" w:rsidR="0049091E" w:rsidRDefault="0049091E" w:rsidP="0049091E">
      <w:pPr>
        <w:rPr>
          <w:rFonts w:ascii="Arial" w:eastAsia="Yu Mincho" w:hAnsi="Arial" w:cs="Arial"/>
          <w:b/>
          <w:bCs/>
          <w:iCs/>
          <w:color w:val="000000"/>
        </w:rPr>
      </w:pPr>
    </w:p>
    <w:p w14:paraId="6A6C816F" w14:textId="77777777" w:rsidR="0049091E" w:rsidRDefault="0049091E" w:rsidP="0049091E">
      <w:pPr>
        <w:rPr>
          <w:rFonts w:ascii="Arial" w:eastAsia="Yu Mincho" w:hAnsi="Arial" w:cs="Arial"/>
          <w:b/>
          <w:bCs/>
          <w:iCs/>
          <w:color w:val="000000"/>
        </w:rPr>
      </w:pPr>
    </w:p>
    <w:p w14:paraId="0839F033" w14:textId="77777777" w:rsidR="0049091E" w:rsidRPr="00F5137D" w:rsidRDefault="0049091E" w:rsidP="008D35A7">
      <w:pPr>
        <w:jc w:val="both"/>
        <w:rPr>
          <w:rFonts w:ascii="Arial" w:hAnsi="Arial" w:cs="Arial"/>
          <w:color w:val="1F497D" w:themeColor="text2"/>
          <w:sz w:val="28"/>
          <w:szCs w:val="28"/>
        </w:rPr>
      </w:pPr>
    </w:p>
    <w:sectPr w:rsidR="0049091E" w:rsidRPr="00F5137D" w:rsidSect="00BE2ABA">
      <w:footerReference w:type="default" r:id="rId16"/>
      <w:headerReference w:type="first" r:id="rId17"/>
      <w:pgSz w:w="11906" w:h="16838"/>
      <w:pgMar w:top="1702"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42BD" w14:textId="77777777" w:rsidR="00C007FF" w:rsidRDefault="00C007FF" w:rsidP="00C3571F">
      <w:pPr>
        <w:spacing w:after="0" w:line="240" w:lineRule="auto"/>
      </w:pPr>
      <w:r>
        <w:separator/>
      </w:r>
    </w:p>
  </w:endnote>
  <w:endnote w:type="continuationSeparator" w:id="0">
    <w:p w14:paraId="46A55E61" w14:textId="77777777" w:rsidR="00C007FF" w:rsidRDefault="00C007FF" w:rsidP="00C3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C53A" w14:textId="50ADF3CB" w:rsidR="005C7B96" w:rsidRDefault="005C7B96" w:rsidP="005C7B96">
    <w:pPr>
      <w:pStyle w:val="Footer"/>
      <w:jc w:val="right"/>
    </w:pPr>
    <w:r w:rsidRPr="00AE4313">
      <w:rPr>
        <w:noProof/>
      </w:rPr>
      <w:drawing>
        <wp:inline distT="0" distB="0" distL="0" distR="0" wp14:anchorId="3C6E8F35" wp14:editId="7878C3A2">
          <wp:extent cx="1440000" cy="1440000"/>
          <wp:effectExtent l="0" t="0" r="8255" b="8255"/>
          <wp:docPr id="1466049586" name="Picture 2" descr="A logo of a person holding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6030" name="Picture 2" descr="A logo of a person holding a bran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49091E" w14:paraId="4B1B9E32" w14:textId="77777777" w:rsidTr="2185D3C6">
      <w:trPr>
        <w:trHeight w:val="300"/>
      </w:trPr>
      <w:tc>
        <w:tcPr>
          <w:tcW w:w="3095" w:type="dxa"/>
        </w:tcPr>
        <w:p w14:paraId="26FDB230" w14:textId="77777777" w:rsidR="0049091E" w:rsidRDefault="0049091E" w:rsidP="2185D3C6">
          <w:pPr>
            <w:pStyle w:val="Header"/>
            <w:ind w:left="-115"/>
          </w:pPr>
        </w:p>
      </w:tc>
      <w:tc>
        <w:tcPr>
          <w:tcW w:w="3095" w:type="dxa"/>
        </w:tcPr>
        <w:p w14:paraId="6DA9908F" w14:textId="5DA204F1" w:rsidR="0049091E" w:rsidRDefault="0049091E" w:rsidP="00136E47">
          <w:pPr>
            <w:pStyle w:val="Header"/>
            <w:jc w:val="right"/>
          </w:pPr>
        </w:p>
      </w:tc>
      <w:tc>
        <w:tcPr>
          <w:tcW w:w="3095" w:type="dxa"/>
        </w:tcPr>
        <w:p w14:paraId="1D1BB5D6" w14:textId="697BE9AA" w:rsidR="0049091E" w:rsidRDefault="00136E47" w:rsidP="2185D3C6">
          <w:pPr>
            <w:pStyle w:val="Header"/>
            <w:ind w:right="-115"/>
            <w:jc w:val="right"/>
          </w:pPr>
          <w:r w:rsidRPr="00AE4313">
            <w:rPr>
              <w:noProof/>
            </w:rPr>
            <w:drawing>
              <wp:inline distT="0" distB="0" distL="0" distR="0" wp14:anchorId="51C01D29" wp14:editId="522B9824">
                <wp:extent cx="1440000" cy="1440000"/>
                <wp:effectExtent l="0" t="0" r="8255" b="8255"/>
                <wp:docPr id="1115365076" name="Picture 2" descr="A logo of a person holding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6030" name="Picture 2" descr="A logo of a person holding a bran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bl>
  <w:p w14:paraId="3454A3DB" w14:textId="52DDC929" w:rsidR="0049091E" w:rsidRDefault="0049091E" w:rsidP="00136E47">
    <w:pPr>
      <w:pStyle w:val="Footer"/>
      <w:tabs>
        <w:tab w:val="clear" w:pos="4513"/>
        <w:tab w:val="clear" w:pos="9026"/>
        <w:tab w:val="left" w:pos="3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B6DB" w14:textId="40CF684C" w:rsidR="00CF696B" w:rsidRPr="00136E47" w:rsidRDefault="00136E47" w:rsidP="00136E47">
    <w:pPr>
      <w:pStyle w:val="Footer"/>
      <w:jc w:val="right"/>
      <w:rPr>
        <w:rFonts w:ascii="Arial" w:hAnsi="Arial" w:cs="Arial"/>
      </w:rPr>
    </w:pPr>
    <w:r w:rsidRPr="00AE4313">
      <w:rPr>
        <w:noProof/>
      </w:rPr>
      <w:drawing>
        <wp:inline distT="0" distB="0" distL="0" distR="0" wp14:anchorId="0C4219D8" wp14:editId="5EE636C1">
          <wp:extent cx="1440000" cy="1440000"/>
          <wp:effectExtent l="0" t="0" r="8255" b="8255"/>
          <wp:docPr id="735716030" name="Picture 2" descr="A logo of a person holding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6030" name="Picture 2" descr="A logo of a person holding a bran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2128" w14:textId="77777777" w:rsidR="00C007FF" w:rsidRDefault="00C007FF" w:rsidP="00C3571F">
      <w:pPr>
        <w:spacing w:after="0" w:line="240" w:lineRule="auto"/>
      </w:pPr>
      <w:r>
        <w:separator/>
      </w:r>
    </w:p>
  </w:footnote>
  <w:footnote w:type="continuationSeparator" w:id="0">
    <w:p w14:paraId="1A964A04" w14:textId="77777777" w:rsidR="00C007FF" w:rsidRDefault="00C007FF" w:rsidP="00C3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4605" w14:textId="77777777" w:rsidR="0049091E" w:rsidRPr="001378F4" w:rsidRDefault="00000000" w:rsidP="001378F4">
    <w:pPr>
      <w:pStyle w:val="BoECatchline"/>
      <w:pBdr>
        <w:bottom w:val="single" w:sz="8" w:space="7" w:color="12273F"/>
      </w:pBdr>
      <w:tabs>
        <w:tab w:val="clear" w:pos="3799"/>
        <w:tab w:val="left" w:pos="5670"/>
      </w:tabs>
      <w:spacing w:before="480" w:after="240"/>
      <w:rPr>
        <w:sz w:val="24"/>
        <w:szCs w:val="24"/>
      </w:rPr>
    </w:pPr>
    <w:sdt>
      <w:sdtPr>
        <w:rPr>
          <w:sz w:val="24"/>
          <w:szCs w:val="24"/>
        </w:rPr>
        <w:id w:val="-327982678"/>
        <w:docPartObj>
          <w:docPartGallery w:val="Page Numbers (Top of Page)"/>
          <w:docPartUnique/>
        </w:docPartObj>
      </w:sdtPr>
      <w:sdtEndPr>
        <w:rPr>
          <w:noProof/>
        </w:rPr>
      </w:sdtEndPr>
      <w:sdtContent>
        <w:sdt>
          <w:sdtPr>
            <w:rPr>
              <w:sz w:val="24"/>
              <w:szCs w:val="24"/>
            </w:rPr>
            <w:id w:val="205303394"/>
            <w:docPartObj>
              <w:docPartGallery w:val="Page Numbers (Top of Page)"/>
              <w:docPartUnique/>
            </w:docPartObj>
          </w:sdtPr>
          <w:sdtEndPr>
            <w:rPr>
              <w:noProof/>
            </w:rPr>
          </w:sdtEndPr>
          <w:sdtContent>
            <w:r w:rsidR="0049091E" w:rsidRPr="00997023">
              <w:rPr>
                <w:sz w:val="24"/>
                <w:szCs w:val="24"/>
              </w:rPr>
              <w:t xml:space="preserve">Prudential Regulation Authority </w:t>
            </w:r>
          </w:sdtContent>
        </w:sdt>
        <w:r w:rsidR="0049091E" w:rsidRPr="00997023">
          <w:rPr>
            <w:b w:val="0"/>
            <w:sz w:val="24"/>
            <w:szCs w:val="24"/>
          </w:rPr>
          <w:tab/>
        </w:r>
        <w:r w:rsidR="0049091E" w:rsidRPr="00997023">
          <w:rPr>
            <w:b w:val="0"/>
            <w:sz w:val="24"/>
            <w:szCs w:val="24"/>
          </w:rPr>
          <w:tab/>
          <w:t xml:space="preserve"> Page </w:t>
        </w:r>
        <w:r w:rsidR="0049091E" w:rsidRPr="00997023">
          <w:rPr>
            <w:b w:val="0"/>
            <w:sz w:val="24"/>
            <w:szCs w:val="24"/>
          </w:rPr>
          <w:fldChar w:fldCharType="begin"/>
        </w:r>
        <w:r w:rsidR="0049091E" w:rsidRPr="00997023">
          <w:rPr>
            <w:b w:val="0"/>
            <w:sz w:val="24"/>
            <w:szCs w:val="24"/>
          </w:rPr>
          <w:instrText xml:space="preserve"> PAGE   \* MERGEFORMAT </w:instrText>
        </w:r>
        <w:r w:rsidR="0049091E" w:rsidRPr="00997023">
          <w:rPr>
            <w:b w:val="0"/>
            <w:sz w:val="24"/>
            <w:szCs w:val="24"/>
          </w:rPr>
          <w:fldChar w:fldCharType="separate"/>
        </w:r>
        <w:r w:rsidR="0049091E">
          <w:rPr>
            <w:b w:val="0"/>
            <w:sz w:val="24"/>
            <w:szCs w:val="24"/>
          </w:rPr>
          <w:t>2</w:t>
        </w:r>
        <w:r w:rsidR="0049091E" w:rsidRPr="00997023">
          <w:rPr>
            <w:b w:val="0"/>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0309" w14:textId="77777777" w:rsidR="0049091E" w:rsidRPr="00B60267" w:rsidRDefault="0049091E" w:rsidP="00B60267">
    <w:pPr>
      <w:pStyle w:val="BoECatchline"/>
      <w:pBdr>
        <w:bottom w:val="single" w:sz="8" w:space="7" w:color="12273F"/>
      </w:pBdr>
      <w:tabs>
        <w:tab w:val="clear" w:pos="3799"/>
        <w:tab w:val="left" w:pos="5670"/>
      </w:tabs>
      <w:spacing w:before="480" w:after="240"/>
      <w:rPr>
        <w:sz w:val="24"/>
        <w:szCs w:val="24"/>
      </w:rPr>
    </w:pPr>
    <w:r w:rsidRPr="00997023">
      <w:rPr>
        <w:sz w:val="24"/>
        <w:szCs w:val="24"/>
      </w:rPr>
      <w:t>Prudential Regulation Authority | Financial Conduct Authori</w:t>
    </w:r>
    <w:r>
      <w:rPr>
        <w:sz w:val="24"/>
        <w:szCs w:val="24"/>
      </w:rPr>
      <w:t>ty</w:t>
    </w:r>
    <w:r w:rsidRPr="00997023">
      <w:rPr>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Cs w:val="24"/>
      </w:rPr>
      <w:t>2</w:t>
    </w:r>
    <w:r w:rsidRPr="00997023">
      <w:rPr>
        <w:b w:val="0"/>
        <w:noProof/>
        <w:sz w:val="24"/>
        <w:szCs w:val="24"/>
      </w:rPr>
      <w:fldChar w:fldCharType="end"/>
    </w:r>
  </w:p>
  <w:p w14:paraId="5AB24516" w14:textId="77777777" w:rsidR="0049091E" w:rsidRDefault="004909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2C33" w14:textId="0025B389" w:rsidR="00BE2ABA" w:rsidRDefault="001731E3" w:rsidP="00F5137D">
    <w:pPr>
      <w:pStyle w:val="Header"/>
      <w:ind w:left="-227"/>
    </w:pPr>
    <w:r w:rsidRPr="00EF651D">
      <w:rPr>
        <w:noProof/>
      </w:rPr>
      <w:drawing>
        <wp:inline distT="0" distB="0" distL="0" distR="0" wp14:anchorId="489B12CF" wp14:editId="002D7841">
          <wp:extent cx="4039235" cy="532765"/>
          <wp:effectExtent l="0" t="0" r="18415" b="635"/>
          <wp:docPr id="4" name="Picture 3" descr="A close up of a logo&#10;&#10;AI-generated content may be incorrect.">
            <a:extLst xmlns:a="http://schemas.openxmlformats.org/drawingml/2006/main">
              <a:ext uri="{FF2B5EF4-FFF2-40B4-BE49-F238E27FC236}">
                <a16:creationId xmlns:a16="http://schemas.microsoft.com/office/drawing/2014/main" id="{8D22F3AD-FD1F-221B-E1D2-EADD50448D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AI-generated content may be incorrect.">
                    <a:extLst>
                      <a:ext uri="{FF2B5EF4-FFF2-40B4-BE49-F238E27FC236}">
                        <a16:creationId xmlns:a16="http://schemas.microsoft.com/office/drawing/2014/main" id="{8D22F3AD-FD1F-221B-E1D2-EADD50448DA0}"/>
                      </a:ext>
                    </a:extLst>
                  </pic:cNvPr>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039235" cy="532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E81"/>
    <w:multiLevelType w:val="multilevel"/>
    <w:tmpl w:val="DE109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717BB8"/>
    <w:multiLevelType w:val="hybridMultilevel"/>
    <w:tmpl w:val="00947E78"/>
    <w:lvl w:ilvl="0" w:tplc="F998CA36">
      <w:start w:val="1"/>
      <w:numFmt w:val="decimal"/>
      <w:lvlText w:val="%1."/>
      <w:lvlJc w:val="left"/>
      <w:pPr>
        <w:ind w:left="720" w:hanging="360"/>
      </w:pPr>
      <w:rPr>
        <w:rFonts w:ascii="Times New Roman" w:eastAsia="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271AB"/>
    <w:multiLevelType w:val="hybridMultilevel"/>
    <w:tmpl w:val="5A840A0C"/>
    <w:lvl w:ilvl="0" w:tplc="382665F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9F3ED5"/>
    <w:multiLevelType w:val="hybridMultilevel"/>
    <w:tmpl w:val="7C80A828"/>
    <w:lvl w:ilvl="0" w:tplc="EA1E3C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DE56AD"/>
    <w:multiLevelType w:val="hybridMultilevel"/>
    <w:tmpl w:val="DCE84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B94EB7"/>
    <w:multiLevelType w:val="hybridMultilevel"/>
    <w:tmpl w:val="04440880"/>
    <w:lvl w:ilvl="0" w:tplc="263C15F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6055389">
    <w:abstractNumId w:val="2"/>
  </w:num>
  <w:num w:numId="2" w16cid:durableId="854805882">
    <w:abstractNumId w:val="5"/>
  </w:num>
  <w:num w:numId="3" w16cid:durableId="323171526">
    <w:abstractNumId w:val="3"/>
  </w:num>
  <w:num w:numId="4" w16cid:durableId="270205871">
    <w:abstractNumId w:val="4"/>
  </w:num>
  <w:num w:numId="5" w16cid:durableId="187448768">
    <w:abstractNumId w:val="1"/>
  </w:num>
  <w:num w:numId="6" w16cid:durableId="95494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A7"/>
    <w:rsid w:val="00094D9A"/>
    <w:rsid w:val="00124717"/>
    <w:rsid w:val="00136B06"/>
    <w:rsid w:val="00136E47"/>
    <w:rsid w:val="001731E3"/>
    <w:rsid w:val="00184475"/>
    <w:rsid w:val="001D5DEB"/>
    <w:rsid w:val="00264BC7"/>
    <w:rsid w:val="00283C80"/>
    <w:rsid w:val="0028725D"/>
    <w:rsid w:val="002C698C"/>
    <w:rsid w:val="003937C3"/>
    <w:rsid w:val="003A2F63"/>
    <w:rsid w:val="003B3FD0"/>
    <w:rsid w:val="00415BFD"/>
    <w:rsid w:val="0049091E"/>
    <w:rsid w:val="004A3075"/>
    <w:rsid w:val="00583DD0"/>
    <w:rsid w:val="005C7B96"/>
    <w:rsid w:val="006034DE"/>
    <w:rsid w:val="00625C97"/>
    <w:rsid w:val="00655A96"/>
    <w:rsid w:val="00700C02"/>
    <w:rsid w:val="00731EC4"/>
    <w:rsid w:val="007F6CAC"/>
    <w:rsid w:val="00883526"/>
    <w:rsid w:val="00897E15"/>
    <w:rsid w:val="008B155C"/>
    <w:rsid w:val="008D35A7"/>
    <w:rsid w:val="008E6733"/>
    <w:rsid w:val="009933F3"/>
    <w:rsid w:val="00A12056"/>
    <w:rsid w:val="00A46829"/>
    <w:rsid w:val="00A76072"/>
    <w:rsid w:val="00B801AB"/>
    <w:rsid w:val="00BC36B2"/>
    <w:rsid w:val="00BE2ABA"/>
    <w:rsid w:val="00BF0742"/>
    <w:rsid w:val="00C007FF"/>
    <w:rsid w:val="00C3571F"/>
    <w:rsid w:val="00CF2765"/>
    <w:rsid w:val="00CF696B"/>
    <w:rsid w:val="00D34723"/>
    <w:rsid w:val="00DE42B0"/>
    <w:rsid w:val="00E01666"/>
    <w:rsid w:val="00E1295A"/>
    <w:rsid w:val="00E9280E"/>
    <w:rsid w:val="00EE378C"/>
    <w:rsid w:val="00EF523C"/>
    <w:rsid w:val="00F27EBD"/>
    <w:rsid w:val="00F5137D"/>
    <w:rsid w:val="00FD2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2C2A"/>
  <w15:docId w15:val="{3AB1E84F-8BED-48E7-9E63-E7637DD7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5A7"/>
    <w:pPr>
      <w:ind w:left="720"/>
      <w:contextualSpacing/>
    </w:pPr>
  </w:style>
  <w:style w:type="paragraph" w:styleId="Header">
    <w:name w:val="header"/>
    <w:basedOn w:val="Normal"/>
    <w:link w:val="HeaderChar"/>
    <w:uiPriority w:val="99"/>
    <w:unhideWhenUsed/>
    <w:rsid w:val="008D3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5A7"/>
  </w:style>
  <w:style w:type="paragraph" w:styleId="Footer">
    <w:name w:val="footer"/>
    <w:basedOn w:val="Normal"/>
    <w:link w:val="FooterChar"/>
    <w:uiPriority w:val="99"/>
    <w:unhideWhenUsed/>
    <w:rsid w:val="008D3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5A7"/>
  </w:style>
  <w:style w:type="character" w:styleId="Hyperlink">
    <w:name w:val="Hyperlink"/>
    <w:basedOn w:val="DefaultParagraphFont"/>
    <w:uiPriority w:val="99"/>
    <w:unhideWhenUsed/>
    <w:rsid w:val="008D35A7"/>
    <w:rPr>
      <w:color w:val="0000FF" w:themeColor="hyperlink"/>
      <w:u w:val="single"/>
    </w:rPr>
  </w:style>
  <w:style w:type="paragraph" w:styleId="BalloonText">
    <w:name w:val="Balloon Text"/>
    <w:basedOn w:val="Normal"/>
    <w:link w:val="BalloonTextChar"/>
    <w:uiPriority w:val="99"/>
    <w:semiHidden/>
    <w:unhideWhenUsed/>
    <w:rsid w:val="008D3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A7"/>
    <w:rPr>
      <w:rFonts w:ascii="Tahoma" w:hAnsi="Tahoma" w:cs="Tahoma"/>
      <w:sz w:val="16"/>
      <w:szCs w:val="16"/>
    </w:rPr>
  </w:style>
  <w:style w:type="paragraph" w:styleId="NoSpacing">
    <w:name w:val="No Spacing"/>
    <w:uiPriority w:val="1"/>
    <w:qFormat/>
    <w:rsid w:val="00A46829"/>
    <w:pPr>
      <w:spacing w:after="0" w:line="240" w:lineRule="auto"/>
    </w:pPr>
  </w:style>
  <w:style w:type="paragraph" w:styleId="Revision">
    <w:name w:val="Revision"/>
    <w:hidden/>
    <w:uiPriority w:val="99"/>
    <w:semiHidden/>
    <w:rsid w:val="003B3FD0"/>
    <w:pPr>
      <w:spacing w:after="0" w:line="240" w:lineRule="auto"/>
    </w:pPr>
  </w:style>
  <w:style w:type="character" w:styleId="CommentReference">
    <w:name w:val="annotation reference"/>
    <w:basedOn w:val="DefaultParagraphFont"/>
    <w:uiPriority w:val="99"/>
    <w:semiHidden/>
    <w:unhideWhenUsed/>
    <w:rsid w:val="003B3FD0"/>
    <w:rPr>
      <w:sz w:val="16"/>
      <w:szCs w:val="16"/>
    </w:rPr>
  </w:style>
  <w:style w:type="paragraph" w:styleId="CommentText">
    <w:name w:val="annotation text"/>
    <w:basedOn w:val="Normal"/>
    <w:link w:val="CommentTextChar"/>
    <w:uiPriority w:val="99"/>
    <w:unhideWhenUsed/>
    <w:rsid w:val="003B3FD0"/>
    <w:pPr>
      <w:spacing w:line="240" w:lineRule="auto"/>
    </w:pPr>
    <w:rPr>
      <w:sz w:val="20"/>
      <w:szCs w:val="20"/>
    </w:rPr>
  </w:style>
  <w:style w:type="character" w:customStyle="1" w:styleId="CommentTextChar">
    <w:name w:val="Comment Text Char"/>
    <w:basedOn w:val="DefaultParagraphFont"/>
    <w:link w:val="CommentText"/>
    <w:uiPriority w:val="99"/>
    <w:rsid w:val="003B3FD0"/>
    <w:rPr>
      <w:sz w:val="20"/>
      <w:szCs w:val="20"/>
    </w:rPr>
  </w:style>
  <w:style w:type="paragraph" w:styleId="CommentSubject">
    <w:name w:val="annotation subject"/>
    <w:basedOn w:val="CommentText"/>
    <w:next w:val="CommentText"/>
    <w:link w:val="CommentSubjectChar"/>
    <w:uiPriority w:val="99"/>
    <w:semiHidden/>
    <w:unhideWhenUsed/>
    <w:rsid w:val="003B3FD0"/>
    <w:rPr>
      <w:b/>
      <w:bCs/>
    </w:rPr>
  </w:style>
  <w:style w:type="character" w:customStyle="1" w:styleId="CommentSubjectChar">
    <w:name w:val="Comment Subject Char"/>
    <w:basedOn w:val="CommentTextChar"/>
    <w:link w:val="CommentSubject"/>
    <w:uiPriority w:val="99"/>
    <w:semiHidden/>
    <w:rsid w:val="003B3FD0"/>
    <w:rPr>
      <w:b/>
      <w:bCs/>
      <w:sz w:val="20"/>
      <w:szCs w:val="20"/>
    </w:rPr>
  </w:style>
  <w:style w:type="character" w:styleId="UnresolvedMention">
    <w:name w:val="Unresolved Mention"/>
    <w:basedOn w:val="DefaultParagraphFont"/>
    <w:uiPriority w:val="99"/>
    <w:semiHidden/>
    <w:unhideWhenUsed/>
    <w:rsid w:val="001731E3"/>
    <w:rPr>
      <w:color w:val="605E5C"/>
      <w:shd w:val="clear" w:color="auto" w:fill="E1DFDD"/>
    </w:rPr>
  </w:style>
  <w:style w:type="character" w:styleId="FollowedHyperlink">
    <w:name w:val="FollowedHyperlink"/>
    <w:basedOn w:val="DefaultParagraphFont"/>
    <w:uiPriority w:val="99"/>
    <w:semiHidden/>
    <w:unhideWhenUsed/>
    <w:rsid w:val="00EF523C"/>
    <w:rPr>
      <w:color w:val="800080" w:themeColor="followedHyperlink"/>
      <w:u w:val="single"/>
    </w:rPr>
  </w:style>
  <w:style w:type="paragraph" w:customStyle="1" w:styleId="BoECatchline">
    <w:name w:val="BoE Catchline"/>
    <w:basedOn w:val="Header"/>
    <w:uiPriority w:val="24"/>
    <w:semiHidden/>
    <w:qFormat/>
    <w:rsid w:val="0049091E"/>
    <w:pPr>
      <w:pBdr>
        <w:bottom w:val="single" w:sz="8" w:space="6" w:color="12273F"/>
      </w:pBdr>
      <w:tabs>
        <w:tab w:val="clear" w:pos="4513"/>
        <w:tab w:val="clear" w:pos="9026"/>
        <w:tab w:val="left" w:pos="3799"/>
        <w:tab w:val="right" w:pos="9922"/>
      </w:tabs>
      <w:spacing w:line="300" w:lineRule="auto"/>
    </w:pPr>
    <w:rPr>
      <w:rFonts w:ascii="Arial" w:eastAsia="Times New Roman" w:hAnsi="Arial" w:cs="Calibri"/>
      <w:b/>
      <w:color w:val="12273F"/>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rarulebook.co.uk/rulebook/Content/Chapter/372333/01-01-2023" TargetMode="External"/><Relationship Id="rId10" Type="http://schemas.openxmlformats.org/officeDocument/2006/relationships/hyperlink" Target="mailto:PRA-waivers@bankofengland.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arulebook.co.uk/pra-rules/own-funds-and-eligible-liabilities-crr/01-01-202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A2795.82D9998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E9A6-9585-43C7-B314-D522BFBD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4938</Characters>
  <Application>Microsoft Office Word</Application>
  <DocSecurity>0</DocSecurity>
  <Lines>205</Lines>
  <Paragraphs>70</Paragraphs>
  <ScaleCrop>false</ScaleCrop>
  <HeadingPairs>
    <vt:vector size="2" baseType="variant">
      <vt:variant>
        <vt:lpstr>Title</vt:lpstr>
      </vt:variant>
      <vt:variant>
        <vt:i4>1</vt:i4>
      </vt:variant>
    </vt:vector>
  </HeadingPairs>
  <TitlesOfParts>
    <vt:vector size="1" baseType="lpstr">
      <vt:lpstr/>
    </vt:vector>
  </TitlesOfParts>
  <Company>Bank of England</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Thomas (TJ)</dc:creator>
  <cp:keywords/>
  <dc:description/>
  <cp:lastModifiedBy>Woodford, Cyrenius</cp:lastModifiedBy>
  <cp:revision>3</cp:revision>
  <dcterms:created xsi:type="dcterms:W3CDTF">2025-10-24T12:58:00Z</dcterms:created>
  <dcterms:modified xsi:type="dcterms:W3CDTF">2025-10-24T12:59:00Z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PRA 3712707</vt:lpwstr>
  </property>
  <property fmtid="{D5CDD505-2E9C-101B-9397-08002B2CF9AE}" pid="3" name="DocVer">
    <vt:lpwstr>PRA 3712707v1</vt:lpwstr>
  </property>
  <property fmtid="{D5CDD505-2E9C-101B-9397-08002B2CF9AE}" pid="4" name="_AdHocReviewCycleID">
    <vt:i4>-225878774</vt:i4>
  </property>
  <property fmtid="{D5CDD505-2E9C-101B-9397-08002B2CF9AE}" pid="5" name="_NewReviewCycle">
    <vt:lpwstr/>
  </property>
  <property fmtid="{D5CDD505-2E9C-101B-9397-08002B2CF9AE}" pid="6" name="_EmailSubject">
    <vt:lpwstr>Changes to Permissions (CRR firms) Webpage</vt:lpwstr>
  </property>
  <property fmtid="{D5CDD505-2E9C-101B-9397-08002B2CF9AE}" pid="7" name="_AuthorEmail">
    <vt:lpwstr>Cyrenius.Woodford@bankofengland.co.uk</vt:lpwstr>
  </property>
  <property fmtid="{D5CDD505-2E9C-101B-9397-08002B2CF9AE}" pid="8" name="_AuthorEmailDisplayName">
    <vt:lpwstr>Woodford, Cyrenius</vt:lpwstr>
  </property>
</Properties>
</file>